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75.png" ContentType="image/png"/>
  <Override PartName="/word/media/image9.png" ContentType="image/png"/>
  <Override PartName="/word/media/image57.png" ContentType="image/png"/>
  <Override PartName="/word/media/image1.png" ContentType="image/png"/>
  <Override PartName="/word/media/image58.png" ContentType="image/png"/>
  <Override PartName="/word/media/image2.png" ContentType="image/png"/>
  <Override PartName="/word/media/image59.png" ContentType="image/png"/>
  <Override PartName="/word/media/image3.png" ContentType="image/png"/>
  <Override PartName="/word/media/image70.png" ContentType="image/png"/>
  <Override PartName="/word/media/image4.png" ContentType="image/png"/>
  <Override PartName="/word/media/image71.png" ContentType="image/png"/>
  <Override PartName="/word/media/image5.png" ContentType="image/png"/>
  <Override PartName="/word/media/image72.png" ContentType="image/png"/>
  <Override PartName="/word/media/image6.png" ContentType="image/png"/>
  <Override PartName="/word/media/image73.png" ContentType="image/png"/>
  <Override PartName="/word/media/image7.png" ContentType="image/png"/>
  <Override PartName="/word/media/image74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35.png" ContentType="image/png"/>
  <Override PartName="/word/media/image36.png" ContentType="image/png"/>
  <Override PartName="/word/media/image37.png" ContentType="image/png"/>
  <Override PartName="/word/media/image38.png" ContentType="image/png"/>
  <Override PartName="/word/media/image39.png" ContentType="image/png"/>
  <Override PartName="/word/media/image40.png" ContentType="image/png"/>
  <Override PartName="/word/media/image41.png" ContentType="image/png"/>
  <Override PartName="/word/media/image42.png" ContentType="image/png"/>
  <Override PartName="/word/media/image43.png" ContentType="image/png"/>
  <Override PartName="/word/media/image44.png" ContentType="image/png"/>
  <Override PartName="/word/media/image45.png" ContentType="image/png"/>
  <Override PartName="/word/media/image46.png" ContentType="image/png"/>
  <Override PartName="/word/media/image47.png" ContentType="image/png"/>
  <Override PartName="/word/media/image48.png" ContentType="image/png"/>
  <Override PartName="/word/media/image49.png" ContentType="image/png"/>
  <Override PartName="/word/media/image50.png" ContentType="image/png"/>
  <Override PartName="/word/media/image51.png" ContentType="image/png"/>
  <Override PartName="/word/media/image52.png" ContentType="image/png"/>
  <Override PartName="/word/media/image53.png" ContentType="image/png"/>
  <Override PartName="/word/media/image54.png" ContentType="image/png"/>
  <Override PartName="/word/media/image55.png" ContentType="image/png"/>
  <Override PartName="/word/media/image56.png" ContentType="image/png"/>
  <Override PartName="/word/media/image60.png" ContentType="image/png"/>
  <Override PartName="/word/media/image61.png" ContentType="image/png"/>
  <Override PartName="/word/media/image62.png" ContentType="image/png"/>
  <Override PartName="/word/media/image63.png" ContentType="image/png"/>
  <Override PartName="/word/media/image64.png" ContentType="image/png"/>
  <Override PartName="/word/media/image65.png" ContentType="image/png"/>
  <Override PartName="/word/media/image66.png" ContentType="image/png"/>
  <Override PartName="/word/media/image67.png" ContentType="image/png"/>
  <Override PartName="/word/media/image68.png" ContentType="image/png"/>
  <Override PartName="/word/media/image69.png" ContentType="image/png"/>
  <Override PartName="/word/media/image76.png" ContentType="image/png"/>
  <Override PartName="/word/media/image77.png" ContentType="image/png"/>
  <Override PartName="/word/media/image78.png" ContentType="image/png"/>
  <Override PartName="/word/media/image79.png" ContentType="image/png"/>
  <Override PartName="/word/media/image80.png" ContentType="image/png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spacing w:lineRule="auto" w:line="276"/>
        <w:ind w:firstLine="540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ind w:firstLine="540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ind w:firstLine="540"/>
        <w:jc w:val="center"/>
        <w:rPr>
          <w:rFonts w:ascii="Calibri" w:hAnsi="Calibri" w:cs="Calibri"/>
        </w:rPr>
      </w:pPr>
      <w:r>
        <w:rPr>
          <w:rFonts w:cs="Calibri" w:ascii="Calibri" w:hAnsi="Calibri"/>
          <w:b/>
        </w:rPr>
        <w:t xml:space="preserve">RAPORT Z PRZEPROWADZONEGO BADANIA ANKIETOWEGO SATYSFAKCJI PACJENTA </w:t>
      </w:r>
    </w:p>
    <w:p>
      <w:pPr>
        <w:pStyle w:val="Normal"/>
        <w:spacing w:lineRule="auto" w:line="276"/>
        <w:ind w:firstLine="540"/>
        <w:jc w:val="center"/>
        <w:rPr>
          <w:rFonts w:ascii="Calibri" w:hAnsi="Calibri" w:cs="Calibri"/>
        </w:rPr>
      </w:pPr>
      <w:r>
        <w:rPr>
          <w:rFonts w:cs="Calibri" w:ascii="Calibri" w:hAnsi="Calibri"/>
          <w:b/>
        </w:rPr>
        <w:t>W SZPITALU MIEJSKIM W RUDZIE ŚLĄSKIEJ SP. Z O. O.</w:t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Badaniem ankietowym objęto pacjentów  Szpitala Miejskiego w Rudzie Śląskiej          Sp. z o. o. w okresie od  01.01.2023r. do  31.12.2023r. na obowiązujących drukach  ankiet badania satysfakcji pacjenta. </w:t>
      </w:r>
    </w:p>
    <w:p>
      <w:pPr>
        <w:pStyle w:val="Normal"/>
        <w:spacing w:lineRule="auto" w:line="276"/>
        <w:ind w:firstLine="540"/>
        <w:jc w:val="both"/>
        <w:rPr/>
      </w:pPr>
      <w:r>
        <w:rPr>
          <w:rFonts w:eastAsia="Calibri" w:cs="Calibri" w:ascii="Calibri" w:hAnsi="Calibri"/>
        </w:rPr>
        <w:t xml:space="preserve">  </w:t>
      </w:r>
      <w:r>
        <w:rPr>
          <w:rFonts w:cs="Calibri" w:ascii="Calibri" w:hAnsi="Calibri"/>
        </w:rPr>
        <w:t xml:space="preserve">Wszystkie zebrane  ankiety były dobrowolne, dostępne przez system Progmedica.  Łącznie wypełnionych zostało 2206 formularzy ankietowych, co daje liczbę o 550 ankiet więcej niż w roku 2022. </w:t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Celem przeprowadzonego badania ankietowego  była ocena satysfakcji pacjenta. Respondenci zostali zapoznani z celem badań oraz ich zakresem. Uzyskane wyniki poddano analizie procentowej, na podstawie której wysunięto wnioski.</w:t>
      </w:r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Spistreci1"/>
        <w:tabs>
          <w:tab w:val="clear" w:pos="708"/>
          <w:tab w:val="right" w:pos="9038" w:leader="dot"/>
        </w:tabs>
        <w:spacing w:lineRule="auto" w:line="276"/>
        <w:rPr/>
      </w:pPr>
      <w:r>
        <w:rPr/>
        <w:t>SPIS TREŚCI:</w:t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18" w:header="708" w:top="851" w:footer="709" w:bottom="851" w:gutter="0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spacing w:lineRule="auto" w:line="276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Spistreci1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fldChar w:fldCharType="begin"/>
          </w:r>
          <w:r>
            <w:rPr/>
            <w:instrText> TOC \o "1-5" \u \h</w:instrText>
          </w:r>
          <w:r>
            <w:rPr/>
            <w:fldChar w:fldCharType="separate"/>
          </w:r>
          <w:r>
            <w:rPr/>
            <w:t>ODDZIAŁY ŁÓŻKOWE DLA DOROSŁYCH</w:t>
            <w:tab/>
            <w:t>2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CZĘŚĆ OGÓLNA</w:t>
            <w:tab/>
            <w:t>2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IZBA PRZYJĘĆ</w:t>
            <w:tab/>
            <w:t>4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POBYT W ODDZIALE</w:t>
            <w:tab/>
            <w:t>8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ŚRODOWISKO SZPITALNE</w:t>
            <w:tab/>
            <w:t>11</w:t>
          </w:r>
        </w:p>
        <w:p>
          <w:pPr>
            <w:pStyle w:val="Spistreci1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ODDZIAŁ PEDIATRYCZNY</w:t>
            <w:tab/>
            <w:t>17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CZĘŚĆ OGÓLNA</w:t>
            <w:tab/>
            <w:t>17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IZBA PRZYJĘĆ</w:t>
            <w:tab/>
            <w:t>18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POBYT W ODDZIALE</w:t>
            <w:tab/>
            <w:t>23</w:t>
          </w:r>
        </w:p>
        <w:p>
          <w:pPr>
            <w:pStyle w:val="Spistreci5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ŚRODOWISKO SZPITALNE</w:t>
            <w:tab/>
            <w:t>28</w:t>
          </w:r>
        </w:p>
        <w:p>
          <w:pPr>
            <w:pStyle w:val="Spistreci1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PORADNIE SPECJALISTYCZNE, NOL</w:t>
            <w:tab/>
            <w:t>34</w:t>
          </w:r>
        </w:p>
        <w:p>
          <w:pPr>
            <w:pStyle w:val="Spistreci1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WNIOSKI</w:t>
            <w:tab/>
            <w:t>41</w:t>
          </w:r>
        </w:p>
        <w:p>
          <w:pPr>
            <w:pStyle w:val="Spistreci1"/>
            <w:tabs>
              <w:tab w:val="clear" w:pos="708"/>
              <w:tab w:val="right" w:pos="9038" w:leader="none"/>
            </w:tabs>
            <w:spacing w:lineRule="auto" w:line="276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bCs w:val="false"/>
              <w:kern w:val="2"/>
              <w:sz w:val="22"/>
              <w:szCs w:val="22"/>
              <w:lang w:eastAsia="pl-PL"/>
              <w14:ligatures w14:val="standardContextual"/>
            </w:rPr>
          </w:pPr>
          <w:r>
            <w:rPr/>
            <w:t>SPIS RYSUNKÓW</w:t>
            <w:tab/>
            <w:t>47</w:t>
          </w:r>
        </w:p>
        <w:p>
          <w:pPr>
            <w:pStyle w:val="Normal"/>
            <w:spacing w:lineRule="auto" w:line="276"/>
            <w:rPr/>
          </w:pPr>
          <w:r>
            <w:rPr/>
          </w:r>
          <w:r>
            <w:rPr/>
            <w:fldChar w:fldCharType="end"/>
          </w:r>
        </w:p>
        <w:p>
          <w:pPr>
            <w:sectPr>
              <w:type w:val="continuous"/>
              <w:pgSz w:w="11906" w:h="16838"/>
              <w:pgMar w:left="1440" w:right="1418" w:header="708" w:top="851" w:footer="709" w:bottom="851" w:gutter="0"/>
              <w:formProt w:val="false"/>
              <w:textDirection w:val="lrTb"/>
              <w:docGrid w:type="default" w:linePitch="360" w:charSpace="0"/>
            </w:sectPr>
          </w:pPr>
        </w:p>
      </w:sdtContent>
    </w:sdt>
    <w:p>
      <w:pPr>
        <w:pStyle w:val="Normal"/>
        <w:spacing w:lineRule="auto" w:line="276"/>
        <w:rPr/>
      </w:pPr>
      <w:r>
        <w:rPr/>
      </w:r>
      <w:r>
        <w:br w:type="page"/>
      </w:r>
    </w:p>
    <w:p>
      <w:pPr>
        <w:pStyle w:val="Normal"/>
        <w:spacing w:lineRule="auto" w:line="276"/>
        <w:rPr>
          <w:rFonts w:ascii="Calibri" w:hAnsi="Calibri" w:cs="Calibri"/>
        </w:rPr>
      </w:pPr>
      <w:bookmarkStart w:id="0" w:name="_Toc134654665"/>
      <w:bookmarkStart w:id="1" w:name="_Toc134654694"/>
      <w:bookmarkStart w:id="2" w:name="_Toc165530278"/>
      <w:r>
        <w:rPr>
          <w:rStyle w:val="Nagwek1Znak"/>
          <w:rFonts w:cs="Calibri" w:ascii="Calibri" w:hAnsi="Calibri"/>
          <w:sz w:val="24"/>
          <w:szCs w:val="24"/>
        </w:rPr>
        <w:t>ODDZIAŁY ŁÓŻKOWE DLA DOROSŁYCH</w:t>
      </w:r>
      <w:bookmarkEnd w:id="0"/>
      <w:bookmarkEnd w:id="1"/>
      <w:bookmarkEnd w:id="2"/>
      <w:r>
        <w:rPr>
          <w:rFonts w:cs="Calibri" w:ascii="Calibri" w:hAnsi="Calibri"/>
          <w:b/>
        </w:rPr>
        <w:t xml:space="preserve"> </w:t>
      </w:r>
    </w:p>
    <w:p>
      <w:pPr>
        <w:pStyle w:val="Nagwek5"/>
        <w:numPr>
          <w:ilvl w:val="4"/>
          <w:numId w:val="2"/>
        </w:numPr>
        <w:spacing w:lineRule="auto" w:line="276" w:before="0" w:after="60"/>
        <w:rPr>
          <w:rFonts w:ascii="Calibri" w:hAnsi="Calibri" w:cs="Calibri"/>
        </w:rPr>
      </w:pPr>
      <w:bookmarkStart w:id="3" w:name="_Toc165530279"/>
      <w:r>
        <w:rPr>
          <w:rFonts w:cs="Calibri" w:ascii="Calibri" w:hAnsi="Calibri"/>
        </w:rPr>
        <w:t>CZĘŚĆ OGÓLNA</w:t>
      </w:r>
      <w:bookmarkEnd w:id="3"/>
    </w:p>
    <w:p>
      <w:pPr>
        <w:pStyle w:val="Normal"/>
        <w:spacing w:lineRule="auto" w:line="276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 xml:space="preserve">Zgodnie z danymi przedstawionymi na Rysunku 1 w ankiecie przeprowadzonej na oddziałach szpitalnych wzięło udział 60,20 % kobiet i 39,80 % mężczyzn.  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562475" cy="2352675"/>
            <wp:effectExtent l="0" t="0" r="0" b="0"/>
            <wp:docPr id="2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4" w:name="_Toc16573645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Płeć ankietowanych</w:t>
      </w:r>
      <w:bookmarkEnd w:id="4"/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>Na rysunku 2 przedstawiono wiek ankietowanych. Przedziały wiekowe prezentują się następująco: 12,25% ankietowanych było w wieku do 30 lat, następnie 20,17% ankietowanych mieściło się w przedziałach wiekowych  31-40 lat; 21,61% w wieku 41-50 lat  oraz 20,32% w przedziale wiekowym 51-60 lat. Wśród ankietowanych 15,98% było w wieku 61-70 oraz  9,67% w wieku lat powyżej 71 lat.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Legenda1"/>
        <w:spacing w:lineRule="auto" w:line="276"/>
        <w:jc w:val="center"/>
        <w:rPr>
          <w:rFonts w:ascii="Calibri" w:hAnsi="Calibri" w:cs="Calibri"/>
          <w:sz w:val="24"/>
          <w:szCs w:val="24"/>
        </w:rPr>
      </w:pPr>
      <w:r>
        <w:rPr/>
        <w:drawing>
          <wp:inline distT="0" distB="0" distL="0" distR="0">
            <wp:extent cx="4314825" cy="2295525"/>
            <wp:effectExtent l="0" t="0" r="0" b="0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5" w:name="_Toc16573645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Wiek ankietowanych</w:t>
      </w:r>
      <w:bookmarkEnd w:id="5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Rysunek 3 przedstawia tryb przyjęcia do szpitala, badani odpowiedzieli następująco: planowe przyjęcie zaznaczyło 65,07%  respondentów, przyjęcie w trybie nagłym dotyczyło  34,93% badanych. 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505325" cy="2171700"/>
            <wp:effectExtent l="0" t="0" r="0" b="0"/>
            <wp:docPr id="4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6" w:name="_Toc16573645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Tryb przyjęcia</w:t>
      </w:r>
      <w:bookmarkEnd w:id="6"/>
    </w:p>
    <w:p>
      <w:pPr>
        <w:pStyle w:val="Nagwek5"/>
        <w:numPr>
          <w:ilvl w:val="4"/>
          <w:numId w:val="2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agwek5"/>
        <w:numPr>
          <w:ilvl w:val="4"/>
          <w:numId w:val="2"/>
        </w:numPr>
        <w:spacing w:lineRule="auto" w:line="276"/>
        <w:rPr/>
      </w:pPr>
      <w:bookmarkStart w:id="7" w:name="_Toc165530280"/>
      <w:r>
        <w:rPr>
          <w:rFonts w:cs="Calibri" w:ascii="Calibri" w:hAnsi="Calibri"/>
        </w:rPr>
        <w:t>IZBA PRZYJĘĆ</w:t>
      </w:r>
      <w:bookmarkEnd w:id="7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>Rysunek 4 przedstawia zdanie ankietowanych na temat oznakowania drogi do izby przyjęć               i  oddziałów łóżkowych. 97,79% ankietowanych uznało istniejące oznakowanie za dobre, 1,52% ankietowanych uznało, że oznakowanie jest złe. Dodatkowo 0,68% respondentów udzieliło  dodatkowego komentarza w postaci odpowiedzi tekstowej (m.in. uwagi o braku tabliczek, mało widocznym oznakowaniu).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133975" cy="2381250"/>
            <wp:effectExtent l="0" t="0" r="0" b="0"/>
            <wp:docPr id="5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8" w:name="_Toc16573645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Oznakowanie drogi</w:t>
      </w:r>
      <w:bookmarkEnd w:id="8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5 przedstawia ocenę respondentów powiązaną  z czynnościami niezbędnymi do wykonania przy przyjęciu do szpitala. Większość badanych zaznaczyło iż czynności były wykonane szybko i sprawnie  co stanowi 87,06% wszystkich badanych, 2,05% źle oceniło czynności związane z przyjęciem, 9,82%  respondentów  nie była  w pełni była zadowolona. Dodatkowego komentarza do odpowiedzi negatywnej udzieliło 1,07% ankietowanych, dotyczyły one w większości odległości IP od oddziałów, oraz czasu oczekiwania.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305425" cy="2228850"/>
            <wp:effectExtent l="0" t="0" r="0" b="0"/>
            <wp:docPr id="6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9" w:name="_Toc16573645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Sprawność wykonania czynności przy przyjęciu</w:t>
      </w:r>
      <w:bookmarkEnd w:id="9"/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  <w:t xml:space="preserve">Respondenci uznali,  iż czas  oczekiwania na przyjęcie na oddział łóżkowy trwał do 30 minut i taką odpowiedź wskazało 57,15% pacjentów, do 2 godzin wskazało odpowiedź 27,78%, powyżej 2 godzin wskazało 15,07% respondentów. 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962525" cy="2105025"/>
            <wp:effectExtent l="0" t="0" r="0" b="0"/>
            <wp:docPr id="7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10" w:name="_Toc16573645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Czas oczekiwania na przyjęcie</w:t>
      </w:r>
      <w:bookmarkEnd w:id="10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Rysunek 7  przedstawia ocenę uprzejmości  i kompetencji pielęgniarek, ratowników Izby Przyjęć. Większość respondentów ocenia uprzejmość  i kompetencje za satysfakcjonujące                    i stanowi to 90,87% wszystkich badanych, 1,14% zaznaczyło odpowiedź nie, 7,31% udzieliła odpowiedzi – nie w pełni. 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086985" cy="2790825"/>
            <wp:effectExtent l="0" t="0" r="0" b="0"/>
            <wp:docPr id="8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11" w:name="_Toc16573645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uprzejmości i kompetencji personelu   medycznego</w:t>
      </w:r>
      <w:bookmarkEnd w:id="11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Rysunek 8 przedstawia ocenę uprzejmości i kompetencji lekarzy Izby Przyjęć. 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Większość respondentów ocenia uprzejmość  i kompetencje za satysfakcjonujące i stanowi to 91,48% wszystkich badanych, 0,99% zaznaczyło odpowiedź nie, a 6,70% respondentów   udzieliła odpowiedzi – nie w pełni. Wśród dodatkowych komentarzy pojawiły się informacje o braku empatii oraz zdenerwowaniu lekarzy. </w:t>
      </w:r>
    </w:p>
    <w:p>
      <w:pPr>
        <w:pStyle w:val="Legenda1"/>
        <w:spacing w:lineRule="auto" w:line="276"/>
        <w:jc w:val="center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sz w:val="24"/>
          <w:szCs w:val="24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745480" cy="2557145"/>
            <wp:effectExtent l="0" t="0" r="0" b="0"/>
            <wp:docPr id="9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12" w:name="_Toc16573645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uprzejmości i kompetencji lekarzy Izby Przyjęć</w:t>
      </w:r>
      <w:bookmarkEnd w:id="12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 9 przedstawia informacje na temat tego, kto najczęściej pomagał ankietowanym dostać się na oddział łóżkowy. 24,12% ankietowanych na oddział łóżkowy dotarło samodzielnie, 40,56% z sanitariuszem lub salową, natomiast 24,43% ankietowanych na oddział łóżkowy dotarło z pomocą pielęgniarki. 2,28% ankietowanych zostało na oddział łóżkowy zaprowadzony przez lekarza oraz 8,60% przez rodzinę.</w:t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/>
        <w:drawing>
          <wp:inline distT="0" distB="0" distL="0" distR="0">
            <wp:extent cx="5125085" cy="2190750"/>
            <wp:effectExtent l="0" t="0" r="0" b="0"/>
            <wp:docPr id="10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lang w:val="x-none"/>
        </w:rPr>
      </w:pPr>
      <w:bookmarkStart w:id="13" w:name="_Toc165736460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9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Pomoc w dotarciu na oddział łóżkowy</w:t>
      </w:r>
      <w:bookmarkEnd w:id="13"/>
    </w:p>
    <w:p>
      <w:pPr>
        <w:pStyle w:val="Normal"/>
        <w:spacing w:lineRule="auto" w:line="276"/>
        <w:jc w:val="both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Rysunki 10 i 11 przedstawiają kolejno dane dotyczące informowania ankietowanych na temat przysługujących im praw pacjenta. 89,04% ankietowanych udzieliło odpowiedzi że zostali poinformowani o przysługujących mu prawach pacjenta, 10,96% wskazało odpowiedź że nie zostali poinformowani. Zapytano również ankietowanych, kto z personelu medycznego poinformował ich o przysługujących prawach. 58,34% zostało poinformowanych przez pielęgniarkę, 25,15% przez lekarza, 6,10% przez rejestratorkę, 7,20% przez sanitariusza lub salową. Wśród dodatkowych uwag pojawiła się również informacja o samodzielnym zapoznaniu z informacjami.</w:t>
      </w:r>
    </w:p>
    <w:p>
      <w:pPr>
        <w:pStyle w:val="Legenda1"/>
        <w:spacing w:lineRule="auto" w:line="276"/>
        <w:jc w:val="center"/>
        <w:rPr>
          <w:rFonts w:ascii="Calibri" w:hAnsi="Calibri" w:cs="Calibri"/>
          <w:sz w:val="24"/>
          <w:szCs w:val="24"/>
        </w:rPr>
      </w:pPr>
      <w:r>
        <w:rPr/>
        <w:drawing>
          <wp:inline distT="0" distB="0" distL="0" distR="0">
            <wp:extent cx="4791710" cy="2295525"/>
            <wp:effectExtent l="0" t="0" r="0" b="0"/>
            <wp:docPr id="11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14" w:name="_Toc165736461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10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Udzielanie informacji o przysługujących  prawach pacjenta</w:t>
      </w:r>
      <w:bookmarkEnd w:id="14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582285" cy="2629535"/>
            <wp:effectExtent l="0" t="0" r="0" b="0"/>
            <wp:docPr id="12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15" w:name="_Toc16573646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Kto z personelu udzielił informacji o przysługujących  prawach pacjenta</w:t>
      </w:r>
      <w:bookmarkEnd w:id="15"/>
    </w:p>
    <w:p>
      <w:pPr>
        <w:pStyle w:val="Caption"/>
        <w:spacing w:lineRule="auto" w:line="276"/>
        <w:jc w:val="left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left"/>
        <w:rPr>
          <w:b/>
          <w:b/>
          <w:bCs/>
          <w:i w:val="false"/>
          <w:i w:val="false"/>
          <w:iCs w:val="false"/>
        </w:rPr>
      </w:pPr>
      <w:r>
        <w:rPr>
          <w:rFonts w:cs="Calibri" w:ascii="Calibri" w:hAnsi="Calibri"/>
          <w:b/>
          <w:bCs/>
          <w:i w:val="false"/>
          <w:iCs w:val="false"/>
        </w:rPr>
        <w:t xml:space="preserve"> </w:t>
      </w:r>
      <w:bookmarkStart w:id="16" w:name="_Toc165530281"/>
      <w:r>
        <w:rPr>
          <w:rFonts w:cs="Calibri" w:ascii="Calibri" w:hAnsi="Calibri"/>
          <w:b/>
          <w:bCs/>
          <w:i w:val="false"/>
          <w:iCs w:val="false"/>
        </w:rPr>
        <w:t>POBYT W ODDZIALE</w:t>
      </w:r>
      <w:bookmarkEnd w:id="16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>Rysunek 12 przedstawia informacje podawane przez lekarza w pierwszych dniach pobytu na oddziałach łóżkowych, na temat planu i przebiegu leczenia oraz koniecznych badaniach diagnostycznych i zabiegach. 93,91% ankietowanych odpowiedziało twierdząco, natomiast 6,09% ankietowanych nie uzyskało takich informacji.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3982085" cy="2038985"/>
            <wp:effectExtent l="0" t="0" r="0" b="0"/>
            <wp:docPr id="13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17" w:name="_Toc16573646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Informacje na temat planu leczenia i koniecznych badaniach/zabiegach</w:t>
      </w:r>
      <w:bookmarkEnd w:id="17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Na rysunku 13 natomiast, przedstawiono odpowiedzi ankietowanych na temat informacji udzielanych przez lekarzy, dotyczących badań diagnostycznych i zabiegów, 96,27% ankietowanych otrzymało powyższe informacje, natomiast 3,73% ankietowanych informacji tych nie otrzymało. 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953635" cy="2543175"/>
            <wp:effectExtent l="0" t="0" r="0" b="0"/>
            <wp:docPr id="14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18" w:name="_Toc16573646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Informacje na temat badań diagnostycznych i zabiegów</w:t>
      </w:r>
      <w:bookmarkEnd w:id="18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Legenda1"/>
        <w:spacing w:lineRule="auto" w:line="276"/>
        <w:jc w:val="both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Rysunek 14 przedstawia ocenę respondentów na pytanie czy informacje uzyskiwane od lekarza na oddziale są wyczerpujące i zrozumiałe, niewyczerpujące i niezrozumiałe , oraz odpowiedź w kategorii nie mam zdania. 85,01% badanych uznało uzyskiwane informacje za wyczerpujące i zrozumiałe, 5,10% za niewyczerpujące i niezrozumiałe, natomiast 9,36% udzieliło odpowiedzi nie mam zdania. W dodatkowych uwagach pojawiały się informacje o braku informacji o wynikach badań, oraz potrzebie dopytywania personelu o informacje.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745480" cy="2710180"/>
            <wp:effectExtent l="0" t="0" r="0" b="0"/>
            <wp:docPr id="15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lang w:val="x-none"/>
        </w:rPr>
      </w:pPr>
      <w:bookmarkStart w:id="19" w:name="_Toc16573646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informacji uzyskiwanych od lekarzy na oddziale</w:t>
      </w:r>
      <w:bookmarkEnd w:id="19"/>
    </w:p>
    <w:p>
      <w:pPr>
        <w:pStyle w:val="Normal"/>
        <w:spacing w:lineRule="auto" w:line="276"/>
        <w:jc w:val="both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Rysunek 1</w:t>
      </w:r>
      <w:r>
        <w:rPr>
          <w:rFonts w:cs="Calibri" w:ascii="Calibri" w:hAnsi="Calibri"/>
        </w:rPr>
        <w:t>5</w:t>
      </w:r>
      <w:r>
        <w:rPr>
          <w:rFonts w:cs="Calibri" w:ascii="Calibri" w:hAnsi="Calibri"/>
          <w:lang w:val="x-none"/>
        </w:rPr>
        <w:t xml:space="preserve"> obrazuje odpowiedzi respondentów na pytanie dotyczące dostępności lekarzy na oddziale.  Bardzo dobrze ocenia </w:t>
      </w:r>
      <w:r>
        <w:rPr>
          <w:rFonts w:cs="Calibri" w:ascii="Calibri" w:hAnsi="Calibri"/>
        </w:rPr>
        <w:t>67,58</w:t>
      </w:r>
      <w:r>
        <w:rPr>
          <w:rFonts w:cs="Calibri" w:ascii="Calibri" w:hAnsi="Calibri"/>
          <w:lang w:val="x-none"/>
        </w:rPr>
        <w:t xml:space="preserve">% badanych; </w:t>
      </w:r>
      <w:r>
        <w:rPr>
          <w:rFonts w:cs="Calibri" w:ascii="Calibri" w:hAnsi="Calibri"/>
        </w:rPr>
        <w:t>31,20</w:t>
      </w:r>
      <w:r>
        <w:rPr>
          <w:rFonts w:cs="Calibri" w:ascii="Calibri" w:hAnsi="Calibri"/>
          <w:lang w:val="x-none"/>
        </w:rPr>
        <w:t xml:space="preserve">% ocenia dobrze, natomiast źle wskazało </w:t>
      </w:r>
      <w:r>
        <w:rPr>
          <w:rFonts w:cs="Calibri" w:ascii="Calibri" w:hAnsi="Calibri"/>
        </w:rPr>
        <w:t>1,22</w:t>
      </w:r>
      <w:r>
        <w:rPr>
          <w:rFonts w:cs="Calibri" w:ascii="Calibri" w:hAnsi="Calibri"/>
          <w:lang w:val="x-none"/>
        </w:rPr>
        <w:t>% ankietowanych.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877435" cy="2429510"/>
            <wp:effectExtent l="0" t="0" r="0" b="0"/>
            <wp:docPr id="16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bookmarkStart w:id="20" w:name="_Toc16573646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dostępności lekarza na oddziale</w:t>
      </w:r>
      <w:bookmarkEnd w:id="20"/>
    </w:p>
    <w:p>
      <w:pPr>
        <w:pStyle w:val="Legenda1"/>
        <w:spacing w:lineRule="auto" w:line="276"/>
        <w:jc w:val="both"/>
        <w:rPr>
          <w:rFonts w:ascii="Calibri" w:hAnsi="Calibri" w:cs="Calibri"/>
          <w:b w:val="false"/>
          <w:b w:val="false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</w:r>
    </w:p>
    <w:p>
      <w:pPr>
        <w:pStyle w:val="Legenda1"/>
        <w:spacing w:lineRule="auto" w:line="276"/>
        <w:jc w:val="both"/>
        <w:rPr>
          <w:rFonts w:ascii="Calibri" w:hAnsi="Calibri" w:cs="Calibri"/>
          <w:sz w:val="24"/>
          <w:szCs w:val="24"/>
        </w:rPr>
      </w:pPr>
      <w:r>
        <w:rPr>
          <w:rFonts w:cs="Calibri" w:ascii="Calibri" w:hAnsi="Calibri"/>
          <w:b w:val="false"/>
          <w:sz w:val="24"/>
          <w:szCs w:val="24"/>
        </w:rPr>
        <w:t>Rysunek 16 przedstawia odpowiedzi na pytanie ,,czy zabiegi medyczne i pielęgnacyjne wykonywane są z poszanowaniem godności i intymności pacjenta. Ankietowani  w 98,40% zaznaczyli odpowiedź ,,tak”; 1,29% badanych udzieliło odpowiedzi ,,nie”.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029200" cy="2657475"/>
            <wp:effectExtent l="0" t="0" r="0" b="0"/>
            <wp:docPr id="17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21" w:name="_Toc16573646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Poszanowanie godności i intymności pacjenta przez personel</w:t>
      </w:r>
      <w:bookmarkEnd w:id="21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17 przedstawia  dostępność pielęgniarek i położnych w oddziale 76,64% ocenia dostępność bardzo dobrze, dobrze 21,84% ankietowanych, źle 0,53% respondentów.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745480" cy="2389505"/>
            <wp:effectExtent l="0" t="0" r="0" b="0"/>
            <wp:docPr id="18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22" w:name="_Toc16573646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Dostępność pielęgniarek i położnych w oddziale</w:t>
      </w:r>
      <w:bookmarkEnd w:id="22"/>
    </w:p>
    <w:p>
      <w:pPr>
        <w:pStyle w:val="Caption"/>
        <w:spacing w:lineRule="auto" w:line="276"/>
        <w:jc w:val="left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left"/>
        <w:rPr>
          <w:b/>
          <w:b/>
        </w:rPr>
      </w:pPr>
      <w:bookmarkStart w:id="23" w:name="_Toc165530282"/>
      <w:r>
        <w:rPr>
          <w:rFonts w:cs="Calibri" w:ascii="Calibri" w:hAnsi="Calibri"/>
          <w:b/>
          <w:bCs/>
          <w:i w:val="false"/>
          <w:iCs w:val="false"/>
        </w:rPr>
        <w:t>ŚRODOWISKO SZPITALNE</w:t>
      </w:r>
      <w:bookmarkEnd w:id="23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Opinia respondentów w zakresie oceny posiłków oferowanych w Szpitalu. Poproszono o opinię w zakresie: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urozmaicenia posiłków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ilości pożywienia</w:t>
      </w:r>
    </w:p>
    <w:p>
      <w:pPr>
        <w:pStyle w:val="Normal"/>
        <w:numPr>
          <w:ilvl w:val="0"/>
          <w:numId w:val="9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temperatury posiłków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Odpowiedzi respondentów układały się następująco. 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18 przedstawia opinie na temat u</w:t>
      </w:r>
      <w:r>
        <w:rPr>
          <w:rFonts w:cs="Calibri" w:ascii="Calibri" w:hAnsi="Calibri"/>
          <w:lang w:val="x-none"/>
        </w:rPr>
        <w:t>rozmaiceni</w:t>
      </w:r>
      <w:r>
        <w:rPr>
          <w:rFonts w:cs="Calibri" w:ascii="Calibri" w:hAnsi="Calibri"/>
        </w:rPr>
        <w:t>a</w:t>
      </w:r>
      <w:r>
        <w:rPr>
          <w:rFonts w:cs="Calibri" w:ascii="Calibri" w:hAnsi="Calibri"/>
          <w:lang w:val="x-none"/>
        </w:rPr>
        <w:t xml:space="preserve"> posiłków</w:t>
      </w:r>
      <w:r>
        <w:rPr>
          <w:rFonts w:cs="Calibri" w:ascii="Calibri" w:hAnsi="Calibri"/>
        </w:rPr>
        <w:t>. Posiłki</w:t>
      </w:r>
      <w:r>
        <w:rPr>
          <w:rFonts w:cs="Calibri" w:ascii="Calibri" w:hAnsi="Calibri"/>
          <w:lang w:val="x-none"/>
        </w:rPr>
        <w:t xml:space="preserve"> bardzo dobrze oceniło </w:t>
      </w:r>
      <w:r>
        <w:rPr>
          <w:rFonts w:cs="Calibri" w:ascii="Calibri" w:hAnsi="Calibri"/>
        </w:rPr>
        <w:t>48,78</w:t>
      </w:r>
      <w:r>
        <w:rPr>
          <w:rFonts w:cs="Calibri" w:ascii="Calibri" w:hAnsi="Calibri"/>
          <w:lang w:val="x-none"/>
        </w:rPr>
        <w:t xml:space="preserve">%, dobrze </w:t>
      </w:r>
      <w:r>
        <w:rPr>
          <w:rFonts w:cs="Calibri" w:ascii="Calibri" w:hAnsi="Calibri"/>
        </w:rPr>
        <w:t>27,40</w:t>
      </w:r>
      <w:r>
        <w:rPr>
          <w:rFonts w:cs="Calibri" w:ascii="Calibri" w:hAnsi="Calibri"/>
          <w:lang w:val="x-none"/>
        </w:rPr>
        <w:t xml:space="preserve">% ankietowanych, raczej dobrze wskazało </w:t>
      </w:r>
      <w:r>
        <w:rPr>
          <w:rFonts w:cs="Calibri" w:ascii="Calibri" w:hAnsi="Calibri"/>
        </w:rPr>
        <w:t>17,35</w:t>
      </w:r>
      <w:r>
        <w:rPr>
          <w:rFonts w:cs="Calibri" w:ascii="Calibri" w:hAnsi="Calibri"/>
          <w:lang w:val="x-none"/>
        </w:rPr>
        <w:t>%</w:t>
      </w:r>
      <w:r>
        <w:rPr>
          <w:rFonts w:cs="Calibri" w:ascii="Calibri" w:hAnsi="Calibri"/>
        </w:rPr>
        <w:t xml:space="preserve">, </w:t>
      </w:r>
      <w:r>
        <w:rPr>
          <w:rFonts w:cs="Calibri" w:ascii="Calibri" w:hAnsi="Calibri"/>
          <w:lang w:val="x-none"/>
        </w:rPr>
        <w:t xml:space="preserve">źle </w:t>
      </w:r>
      <w:r>
        <w:rPr>
          <w:rFonts w:cs="Calibri" w:ascii="Calibri" w:hAnsi="Calibri"/>
        </w:rPr>
        <w:t>5,40</w:t>
      </w:r>
      <w:r>
        <w:rPr>
          <w:rFonts w:cs="Calibri" w:ascii="Calibri" w:hAnsi="Calibri"/>
          <w:lang w:val="x-none"/>
        </w:rPr>
        <w:t>% i bardzo źle 1,07</w:t>
      </w:r>
      <w:r>
        <w:rPr>
          <w:rFonts w:cs="Calibri" w:ascii="Calibri" w:hAnsi="Calibri"/>
        </w:rPr>
        <w:t>%</w:t>
      </w:r>
      <w:r>
        <w:rPr>
          <w:rFonts w:cs="Calibri" w:ascii="Calibri" w:hAnsi="Calibri"/>
          <w:lang w:val="x-none"/>
        </w:rPr>
        <w:t>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/>
        <w:drawing>
          <wp:inline distT="0" distB="0" distL="0" distR="0">
            <wp:extent cx="5001260" cy="2258060"/>
            <wp:effectExtent l="0" t="0" r="0" b="0"/>
            <wp:docPr id="19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bookmarkStart w:id="24" w:name="_Toc16573646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Urozmaicenie posiłków</w:t>
      </w:r>
      <w:bookmarkEnd w:id="24"/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19 przedstawia opinię respondentów na temat ilości pożywienia. Posiłki</w:t>
      </w:r>
      <w:r>
        <w:rPr>
          <w:rFonts w:cs="Calibri" w:ascii="Calibri" w:hAnsi="Calibri"/>
          <w:lang w:val="x-none"/>
        </w:rPr>
        <w:t xml:space="preserve"> bardzo dobrze oceniło </w:t>
      </w:r>
      <w:r>
        <w:rPr>
          <w:rFonts w:cs="Calibri" w:ascii="Calibri" w:hAnsi="Calibri"/>
        </w:rPr>
        <w:t>47,72</w:t>
      </w:r>
      <w:r>
        <w:rPr>
          <w:rFonts w:cs="Calibri" w:ascii="Calibri" w:hAnsi="Calibri"/>
          <w:lang w:val="x-none"/>
        </w:rPr>
        <w:t>% ankietowanych, dobrze 29,15%, raczej dobrze wskazało 17,66%</w:t>
      </w:r>
      <w:r>
        <w:rPr>
          <w:rFonts w:cs="Calibri" w:ascii="Calibri" w:hAnsi="Calibri"/>
        </w:rPr>
        <w:t xml:space="preserve">, </w:t>
      </w:r>
      <w:r>
        <w:rPr>
          <w:rFonts w:cs="Calibri" w:ascii="Calibri" w:hAnsi="Calibri"/>
          <w:lang w:val="x-none"/>
        </w:rPr>
        <w:t xml:space="preserve">źle </w:t>
      </w:r>
      <w:r>
        <w:rPr>
          <w:rFonts w:cs="Calibri" w:ascii="Calibri" w:hAnsi="Calibri"/>
        </w:rPr>
        <w:t>4,49</w:t>
      </w:r>
      <w:r>
        <w:rPr>
          <w:rFonts w:cs="Calibri" w:ascii="Calibri" w:hAnsi="Calibri"/>
          <w:lang w:val="x-none"/>
        </w:rPr>
        <w:t xml:space="preserve">% i bardzo źle </w:t>
      </w:r>
      <w:r>
        <w:rPr>
          <w:rFonts w:cs="Calibri" w:ascii="Calibri" w:hAnsi="Calibri"/>
        </w:rPr>
        <w:t>0,99%</w:t>
      </w:r>
      <w:r>
        <w:rPr>
          <w:rFonts w:cs="Calibri" w:ascii="Calibri" w:hAnsi="Calibri"/>
          <w:lang w:val="x-none"/>
        </w:rPr>
        <w:t>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/>
        <w:drawing>
          <wp:inline distT="0" distB="0" distL="0" distR="0">
            <wp:extent cx="4667885" cy="2219960"/>
            <wp:effectExtent l="0" t="0" r="0" b="0"/>
            <wp:docPr id="20" name="Obraz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25" w:name="_Toc165736470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19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Ilość pożywienia</w:t>
      </w:r>
      <w:bookmarkEnd w:id="25"/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 xml:space="preserve">Ankietowani udzielili </w:t>
      </w:r>
      <w:r>
        <w:rPr>
          <w:rFonts w:cs="Calibri" w:ascii="Calibri" w:hAnsi="Calibri"/>
        </w:rPr>
        <w:t xml:space="preserve">również </w:t>
      </w:r>
      <w:r>
        <w:rPr>
          <w:rFonts w:cs="Calibri" w:ascii="Calibri" w:hAnsi="Calibri"/>
          <w:lang w:val="x-none"/>
        </w:rPr>
        <w:t xml:space="preserve">odpowiedzi na temat  temperatury podawanych posiłków. </w:t>
      </w:r>
      <w:r>
        <w:rPr>
          <w:rFonts w:cs="Calibri" w:ascii="Calibri" w:hAnsi="Calibri"/>
        </w:rPr>
        <w:t xml:space="preserve">Dane te przedstawia rysunek 20. </w:t>
      </w:r>
      <w:r>
        <w:rPr>
          <w:rFonts w:cs="Calibri" w:ascii="Calibri" w:hAnsi="Calibri"/>
          <w:lang w:val="x-none"/>
        </w:rPr>
        <w:t>44,14% ankietowanych</w:t>
      </w:r>
      <w:r>
        <w:rPr>
          <w:rFonts w:cs="Calibri" w:ascii="Calibri" w:hAnsi="Calibri"/>
        </w:rPr>
        <w:t xml:space="preserve"> oceniło temperaturę bardzo dobrze, </w:t>
      </w:r>
      <w:r>
        <w:rPr>
          <w:rFonts w:cs="Calibri" w:ascii="Calibri" w:hAnsi="Calibri"/>
          <w:lang w:val="x-none"/>
        </w:rPr>
        <w:t>30,21%</w:t>
      </w:r>
      <w:r>
        <w:rPr>
          <w:rFonts w:cs="Calibri" w:ascii="Calibri" w:hAnsi="Calibri"/>
        </w:rPr>
        <w:t xml:space="preserve"> dobrze</w:t>
      </w:r>
      <w:r>
        <w:rPr>
          <w:rFonts w:cs="Calibri" w:ascii="Calibri" w:hAnsi="Calibri"/>
          <w:lang w:val="x-none"/>
        </w:rPr>
        <w:t xml:space="preserve"> , raczej dobrze wskazało 19,03. Źle oceniło  5,94%, bardzo źle 0,68%</w:t>
      </w:r>
      <w:r>
        <w:rPr>
          <w:rFonts w:cs="Calibri" w:ascii="Calibri" w:hAnsi="Calibri"/>
        </w:rPr>
        <w:t>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106035" cy="2085975"/>
            <wp:effectExtent l="0" t="0" r="0" b="0"/>
            <wp:docPr id="21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26" w:name="_Toc165736471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20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Temperatura posiłków</w:t>
      </w:r>
      <w:bookmarkEnd w:id="26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Ankietowanych zapytano również, czy zostały im wyjaśnione zasady prawidłowego odżywiania oraz dozwolonych produktów żywieniowych. Rysunek 20 przedstawia odpowiedź na to pytanie. 73,97% udzieliło odpowiedzi pozytywnej; 15,98% negatywnej; 9,51% ankietowanych zaznaczyło odpowiedź  „nie w pełni”.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258435" cy="2476500"/>
            <wp:effectExtent l="0" t="0" r="0" b="0"/>
            <wp:docPr id="22" name="Obraz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27" w:name="_Toc16573647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Zasady odżywiania</w:t>
      </w:r>
      <w:bookmarkEnd w:id="27"/>
    </w:p>
    <w:p>
      <w:pPr>
        <w:pStyle w:val="Caption"/>
        <w:spacing w:lineRule="auto" w:line="276"/>
        <w:jc w:val="both"/>
        <w:rPr>
          <w:rFonts w:ascii="Calibri" w:hAnsi="Calibri" w:cs="Calibri"/>
          <w:i w:val="false"/>
          <w:i w:val="false"/>
          <w:iCs w:val="false"/>
        </w:rPr>
      </w:pPr>
      <w:r>
        <w:rPr>
          <w:rFonts w:cs="Calibri" w:ascii="Calibri" w:hAnsi="Calibri"/>
          <w:i w:val="false"/>
          <w:iCs w:val="false"/>
        </w:rPr>
        <w:t>Kolejne ryciny przedstawiają opinie pacjentów dotyczące warunków panujących oddziale pod względem następujących aspektów: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czystość sali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wyposażenie sali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czystość toalet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warunki snu i wypoczynku</w:t>
      </w:r>
    </w:p>
    <w:p>
      <w:pPr>
        <w:pStyle w:val="Normal"/>
        <w:numPr>
          <w:ilvl w:val="0"/>
          <w:numId w:val="10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dostęp do telefonu i Internetu</w:t>
      </w:r>
    </w:p>
    <w:p>
      <w:pPr>
        <w:pStyle w:val="Normal"/>
        <w:spacing w:lineRule="auto" w:line="276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 xml:space="preserve">  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eastAsia="Calibri" w:cs="Calibri" w:ascii="Calibri" w:hAnsi="Calibri"/>
        </w:rPr>
        <w:t xml:space="preserve"> </w:t>
      </w:r>
      <w:r>
        <w:rPr>
          <w:rFonts w:cs="Calibri" w:ascii="Calibri" w:hAnsi="Calibri"/>
        </w:rPr>
        <w:t>Rysunek 22 przedstawia opinie na temat czystości  w salach chorych i innych pomieszczeniach oddziału. 16,89% ankietowanych udzieliło odpowiedzi „dobrze”  bardzo dobrze wskazało 79,15%, raczej dobrze 3,73%, źle oceniło 0,15% respondentów. Jeden z ankietowanych zaznaczył odpowiedzi „bardzo źle”, co stanowi 0,08%.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267960" cy="2162810"/>
            <wp:effectExtent l="0" t="0" r="0" b="0"/>
            <wp:docPr id="23" name="Obraz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2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28" w:name="_Toc16573647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Czystość sal i innych pomieszczeń</w:t>
      </w:r>
      <w:bookmarkEnd w:id="28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>Rysunek 23 przedstawia opinię dotyczącą wyposażenia, 54,49% oceniło warunki jako bardzo dobre, 31,51% jako dobre, 10,88% respondentów udzieliło odpowiedzi ,,raczej dobrze”, natomiast 2,66% osób wskazało odpowiedź ,,źle”. 0,46% wyposażenie oceniło jako bardzo złe.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/>
        <w:drawing>
          <wp:inline distT="0" distB="0" distL="0" distR="0">
            <wp:extent cx="4715510" cy="2115185"/>
            <wp:effectExtent l="0" t="0" r="0" b="0"/>
            <wp:docPr id="24" name="Obraz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29" w:name="_Toc16573647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 wyposażenia</w:t>
      </w:r>
      <w:bookmarkEnd w:id="29"/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  <w:t>Poproszono respondentów o opinię warunków snu i wypoczynku – rys. 24  oraz dostępu do telefonu i Internetu – ryc.26. Uzyskano następujące odpowiedzi.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 pytaniu o warunki snu i wypoczynku ankietowani odpowiedzieli następująco: 58,30% oceniło czystość jako bardzo dobrą, 28,16% jako dobrą. 10,88% odpowiedziało „raczej dobrze”, 2,21% „źle”. Szóstka ankietowanych odpowiedział na pytanie „bardzo źle”, co stanowi 0,46%.</w:t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125085" cy="2085975"/>
            <wp:effectExtent l="0" t="0" r="0" b="0"/>
            <wp:docPr id="25" name="Obraz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30" w:name="_Toc16573647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Warunki snu i wypoczynku</w:t>
      </w:r>
      <w:bookmarkEnd w:id="30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Dostęp do Internetu i telefonu ankietowani ocenili następująco: „bardzo dobrze” – 62,02%, „dobrze” – 20,70%, 10,81% wskazało odpowiedź „raczej dobrze”. Ocenę „źle” zaznaczyło 2,36%, „bardzo źle” 0,53% respondentów. Z dodatkowych uwag respondenci wymienili m. in. Słaby Internet, lub jego brak.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201285" cy="2486660"/>
            <wp:effectExtent l="0" t="0" r="0" b="0"/>
            <wp:docPr id="26" name="Obraz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2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31" w:name="_Toc16573647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Dostęp do telefonu/ Internetu</w:t>
      </w:r>
      <w:bookmarkEnd w:id="31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Ankietowani mieli również okazję ocenić możliwość odwiedzin podczas hospitalizacji. 27,63% pytanych deklaruje, że mieli możliwość przyjęcia odwiedzin o każdej porze, 70,74% - o określonych godzinach. 0,68% ankietowanych deklaruje, że przyjmowanie odwiedzin było utrudnione, natomiast 1,22%, że były one niemożliwe. </w:t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/>
        <w:drawing>
          <wp:inline distT="0" distB="0" distL="0" distR="0">
            <wp:extent cx="5201285" cy="2115185"/>
            <wp:effectExtent l="0" t="0" r="0" b="0"/>
            <wp:docPr id="27" name="Obraz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26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32" w:name="_Toc16573647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Odwiedziny na oddziale</w:t>
      </w:r>
      <w:bookmarkEnd w:id="32"/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27 przedstawia dostępność opieki duszpasterskiej. 68,04% uznało opiekę duszpasterską za  dobrą , natomiast 1,14% wykazało, że była zła. 30,82% ankietowanych nie miało zdania na ten temat.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782185" cy="2181860"/>
            <wp:effectExtent l="0" t="0" r="0" b="0"/>
            <wp:docPr id="28" name="Obraz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27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33" w:name="_Toc16573647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Dostępność opieki duszpasterskiej</w:t>
      </w:r>
      <w:bookmarkEnd w:id="33"/>
    </w:p>
    <w:p>
      <w:pPr>
        <w:pStyle w:val="Normal"/>
        <w:spacing w:lineRule="auto" w:line="276"/>
        <w:jc w:val="both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28 przedstawia opinie własne respondentów na temat pobytu w szpitalu. Większość ankietowanych – 52,89% była bardzo zadowolona z pobytu w szpitalu. 40,41% ankietowanych było zadowolonych z pobytu. Niezadowolonych z pobytu  w szpitalu było 1,07% respondentów, natomiast  2,66% ankietowanych nie wyraziło opinii na ten temat.</w:t>
      </w:r>
      <w:r>
        <w:rPr>
          <w:rFonts w:cs="Calibri" w:ascii="Calibri" w:hAnsi="Calibri"/>
          <w:lang w:val="x-none"/>
        </w:rPr>
        <w:t xml:space="preserve"> 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144135" cy="2591435"/>
            <wp:effectExtent l="0" t="0" r="0" b="0"/>
            <wp:docPr id="29" name="Obraz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2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color w:val="C9211E"/>
        </w:rPr>
      </w:pPr>
      <w:bookmarkStart w:id="34" w:name="_Toc16573647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Opinia własna na temat pobytu w szpitalu</w:t>
      </w:r>
      <w:bookmarkEnd w:id="34"/>
      <w:r>
        <w:br w:type="page"/>
      </w:r>
    </w:p>
    <w:p>
      <w:pPr>
        <w:pStyle w:val="Nagwek1"/>
        <w:spacing w:lineRule="auto" w:line="276"/>
        <w:rPr>
          <w:rFonts w:ascii="Calibri" w:hAnsi="Calibri" w:cs="Calibri"/>
          <w:sz w:val="24"/>
          <w:szCs w:val="24"/>
        </w:rPr>
      </w:pPr>
      <w:bookmarkStart w:id="35" w:name="_Toc134654666"/>
      <w:bookmarkStart w:id="36" w:name="_Toc134654695"/>
      <w:bookmarkStart w:id="37" w:name="_Toc165530283"/>
      <w:r>
        <w:rPr>
          <w:rFonts w:cs="Calibri" w:ascii="Calibri" w:hAnsi="Calibri"/>
          <w:sz w:val="24"/>
          <w:szCs w:val="24"/>
        </w:rPr>
        <w:t>ODDZIAŁ PEDIATRYCZNY</w:t>
      </w:r>
      <w:bookmarkEnd w:id="35"/>
      <w:bookmarkEnd w:id="36"/>
      <w:bookmarkEnd w:id="37"/>
    </w:p>
    <w:p>
      <w:pPr>
        <w:pStyle w:val="Nagwek5"/>
        <w:numPr>
          <w:ilvl w:val="4"/>
          <w:numId w:val="2"/>
        </w:numPr>
        <w:spacing w:lineRule="auto" w:line="276"/>
        <w:rPr>
          <w:rFonts w:ascii="Calibri" w:hAnsi="Calibri" w:cs="Calibri"/>
        </w:rPr>
      </w:pPr>
      <w:bookmarkStart w:id="38" w:name="_Toc165530284"/>
      <w:r>
        <w:rPr>
          <w:rFonts w:cs="Calibri" w:ascii="Calibri" w:hAnsi="Calibri"/>
        </w:rPr>
        <w:t>CZĘŚĆ OGÓLNA</w:t>
      </w:r>
      <w:bookmarkEnd w:id="38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color w:val="C9211E"/>
          <w:lang w:val="x-none"/>
        </w:rPr>
      </w:pPr>
      <w:r>
        <w:rPr>
          <w:rFonts w:cs="Calibri" w:ascii="Calibri" w:hAnsi="Calibri"/>
          <w:b/>
          <w:color w:val="C9211E"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color w:val="000000"/>
          <w:lang w:val="x-none"/>
        </w:rPr>
        <w:t xml:space="preserve">Analizie uzyskanych odpowiedzi w wyniku przeprowadzonego badania satysfakcji poddano </w:t>
      </w:r>
      <w:r>
        <w:rPr>
          <w:rFonts w:cs="Calibri" w:ascii="Calibri" w:hAnsi="Calibri"/>
          <w:color w:val="000000"/>
        </w:rPr>
        <w:t>216</w:t>
      </w:r>
      <w:r>
        <w:rPr>
          <w:rFonts w:cs="Calibri" w:ascii="Calibri" w:hAnsi="Calibri"/>
          <w:color w:val="000000"/>
          <w:lang w:val="x-none"/>
        </w:rPr>
        <w:t xml:space="preserve"> ankiet zebranych </w:t>
      </w:r>
      <w:r>
        <w:rPr>
          <w:rFonts w:cs="Calibri" w:ascii="Calibri" w:hAnsi="Calibri"/>
          <w:color w:val="000000"/>
        </w:rPr>
        <w:t>na Oddziale Pediatrycznym</w:t>
      </w:r>
      <w:r>
        <w:rPr>
          <w:rFonts w:cs="Calibri" w:ascii="Calibri" w:hAnsi="Calibri"/>
          <w:color w:val="000000"/>
          <w:lang w:val="x-none"/>
        </w:rPr>
        <w:t>.</w:t>
      </w:r>
    </w:p>
    <w:p>
      <w:pPr>
        <w:pStyle w:val="Normal"/>
        <w:spacing w:lineRule="auto" w:line="276"/>
        <w:jc w:val="both"/>
        <w:rPr>
          <w:rFonts w:ascii="Calibri" w:hAnsi="Calibri" w:cs="Calibri"/>
          <w:color w:val="000000"/>
          <w:lang w:val="x-none"/>
        </w:rPr>
      </w:pPr>
      <w:r>
        <w:rPr>
          <w:rFonts w:cs="Calibri" w:ascii="Calibri" w:hAnsi="Calibri"/>
          <w:color w:val="000000"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color w:val="000000"/>
          <w:lang w:val="x-none"/>
        </w:rPr>
        <w:t>W części ogólnej ankiety zapytano rodziców/ opiekunów  o  skierowanie do szpitala.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Rysunek 29 przedstawia informacje na temat wystawianych skierowań. 59,26</w:t>
      </w:r>
      <w:r>
        <w:rPr>
          <w:rFonts w:cs="Calibri" w:ascii="Calibri" w:hAnsi="Calibri"/>
          <w:lang w:val="x-none"/>
        </w:rPr>
        <w:t xml:space="preserve">% respondentów wskazało odpowiedź , że skierowanie otrzymali od lekarza rodzinnego, </w:t>
      </w:r>
      <w:r>
        <w:rPr>
          <w:rFonts w:cs="Calibri" w:ascii="Calibri" w:hAnsi="Calibri"/>
        </w:rPr>
        <w:t>6,02</w:t>
      </w:r>
      <w:r>
        <w:rPr>
          <w:rFonts w:cs="Calibri" w:ascii="Calibri" w:hAnsi="Calibri"/>
          <w:lang w:val="x-none"/>
        </w:rPr>
        <w:t>% skierowań wystawił lekarz specjalista, 17,13</w:t>
      </w:r>
      <w:r>
        <w:rPr>
          <w:rFonts w:cs="Calibri" w:ascii="Calibri" w:hAnsi="Calibri"/>
        </w:rPr>
        <w:t>%</w:t>
      </w:r>
      <w:r>
        <w:rPr>
          <w:rFonts w:cs="Calibri" w:ascii="Calibri" w:hAnsi="Calibri"/>
          <w:lang w:val="x-none"/>
        </w:rPr>
        <w:t xml:space="preserve"> to pacjenci skierowani przez lekarza pogotowia ratunkowego, </w:t>
      </w:r>
      <w:r>
        <w:rPr>
          <w:rFonts w:cs="Calibri" w:ascii="Calibri" w:hAnsi="Calibri"/>
        </w:rPr>
        <w:t xml:space="preserve">a 3,24% </w:t>
      </w:r>
      <w:r>
        <w:rPr>
          <w:rFonts w:cs="Calibri" w:ascii="Calibri" w:hAnsi="Calibri"/>
          <w:lang w:val="x-none"/>
        </w:rPr>
        <w:t xml:space="preserve">przeniesiono z innej placówki. 14,35% ankietowanych przyjętych zostało w sposób nagły, co za tym idzie, nie posiadali skierowania. 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5745480" cy="1676400"/>
            <wp:effectExtent l="0" t="0" r="0" b="0"/>
            <wp:docPr id="30" name="Obraz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2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39" w:name="_Toc165736480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29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Kto wystawił skierowanie</w:t>
      </w:r>
      <w:bookmarkEnd w:id="39"/>
    </w:p>
    <w:p>
      <w:pPr>
        <w:pStyle w:val="Normal"/>
        <w:spacing w:lineRule="auto" w:line="276"/>
        <w:jc w:val="both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Zapytano ankietowanych czy w trakcie leczenia w szpitalu opiekun miał możliwość swobodnego kontaktu z dzieckiem. 98,60% odpowiedziało twierdząco, jedna osoba wskazała na ograniczenia – czasowy zakaz odwiedzin.</w:t>
      </w:r>
    </w:p>
    <w:p>
      <w:pPr>
        <w:pStyle w:val="Nagwek5"/>
        <w:numPr>
          <w:ilvl w:val="4"/>
          <w:numId w:val="2"/>
        </w:numPr>
        <w:spacing w:lineRule="auto" w:line="276"/>
        <w:rPr>
          <w:rFonts w:ascii="Calibri" w:hAnsi="Calibri" w:cs="Calibri"/>
        </w:rPr>
      </w:pPr>
      <w:r>
        <w:rPr/>
        <w:drawing>
          <wp:inline distT="0" distB="0" distL="0" distR="0">
            <wp:extent cx="5745480" cy="1857375"/>
            <wp:effectExtent l="0" t="0" r="0" b="0"/>
            <wp:docPr id="31" name="Obraz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3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/>
        <w:t xml:space="preserve">Rysunek </w:t>
      </w:r>
      <w:r>
        <w:rPr/>
        <w:fldChar w:fldCharType="begin"/>
      </w:r>
      <w:r>
        <w:rPr/>
        <w:instrText> SEQ Rysunek \* ARABIC </w:instrText>
      </w:r>
      <w:r>
        <w:rPr/>
        <w:fldChar w:fldCharType="separate"/>
      </w:r>
      <w:r>
        <w:rPr/>
        <w:t>30</w:t>
      </w:r>
      <w:r>
        <w:rPr/>
        <w:fldChar w:fldCharType="end"/>
      </w:r>
      <w:r>
        <w:rPr/>
        <w:t xml:space="preserve">  Możliwość kontaktu z dzieckiem</w:t>
      </w:r>
      <w:bookmarkStart w:id="40" w:name="_Toc165530285"/>
      <w:r>
        <w:br w:type="page"/>
      </w:r>
    </w:p>
    <w:p>
      <w:pPr>
        <w:pStyle w:val="Normal"/>
        <w:spacing w:lineRule="auto" w:line="276"/>
        <w:jc w:val="left"/>
        <w:rPr>
          <w:rFonts w:ascii="Calibri" w:hAnsi="Calibri" w:cs="Calibri"/>
        </w:rPr>
      </w:pPr>
      <w:bookmarkStart w:id="41" w:name="_Toc165736481"/>
      <w:r>
        <w:rPr>
          <w:rFonts w:cs="Calibri" w:ascii="Calibri" w:hAnsi="Calibri"/>
          <w:b/>
          <w:bCs/>
        </w:rPr>
        <w:t>IZBA PRZYJĘĆ</w:t>
      </w:r>
      <w:bookmarkEnd w:id="40"/>
      <w:bookmarkEnd w:id="41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  <w:lang w:val="x-none"/>
        </w:rPr>
        <w:t>Rysunek 3</w:t>
      </w:r>
      <w:r>
        <w:rPr>
          <w:rFonts w:cs="Calibri" w:ascii="Calibri" w:hAnsi="Calibri"/>
        </w:rPr>
        <w:t>1</w:t>
      </w:r>
      <w:r>
        <w:rPr>
          <w:rFonts w:cs="Calibri" w:ascii="Calibri" w:hAnsi="Calibri"/>
          <w:lang w:val="x-none"/>
        </w:rPr>
        <w:t xml:space="preserve"> przedstawia zdanie ankietowanych na temat oznakowania drogi do izby przyjęć                      i oddziału. 92,13% ankietowanych uznało istniejące oznakowanie za dobre, </w:t>
      </w:r>
      <w:r>
        <w:rPr>
          <w:rFonts w:cs="Calibri" w:ascii="Calibri" w:hAnsi="Calibri"/>
        </w:rPr>
        <w:t>5,56</w:t>
      </w:r>
      <w:r>
        <w:rPr>
          <w:rFonts w:cs="Calibri" w:ascii="Calibri" w:hAnsi="Calibri"/>
          <w:lang w:val="x-none"/>
        </w:rPr>
        <w:t xml:space="preserve">% za średnie, </w:t>
      </w:r>
      <w:r>
        <w:rPr>
          <w:rFonts w:cs="Calibri" w:ascii="Calibri" w:hAnsi="Calibri"/>
        </w:rPr>
        <w:t>a 2,31</w:t>
      </w:r>
      <w:r>
        <w:rPr>
          <w:rFonts w:cs="Calibri" w:ascii="Calibri" w:hAnsi="Calibri"/>
          <w:lang w:val="x-none"/>
        </w:rPr>
        <w:t>%  ankietowanych nie ma zdania. Nikt nie określił oznakowania jako złe</w:t>
      </w:r>
      <w:r>
        <w:rPr>
          <w:rFonts w:cs="Calibri" w:ascii="Calibri" w:hAnsi="Calibri"/>
        </w:rPr>
        <w:t>.</w:t>
      </w:r>
    </w:p>
    <w:p>
      <w:pPr>
        <w:pStyle w:val="Normal"/>
        <w:spacing w:lineRule="auto" w:line="276"/>
        <w:jc w:val="center"/>
        <w:rPr/>
      </w:pPr>
      <w:r>
        <w:rPr/>
        <w:drawing>
          <wp:inline distT="0" distB="0" distL="0" distR="0">
            <wp:extent cx="4639310" cy="1934210"/>
            <wp:effectExtent l="0" t="0" r="0" b="0"/>
            <wp:docPr id="32" name="Obraz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3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bookmarkStart w:id="42" w:name="_Toc16573648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Oznakowanie drogi dotarcia do Izby Przyjęć i Oddziału</w:t>
      </w:r>
      <w:bookmarkEnd w:id="42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  <w:lang w:val="x-none"/>
        </w:rPr>
        <w:t>Zapytano respondentów o ocenę w zakresie funkcjonowania Izby Przyjęć, poproszono o ocenę: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 xml:space="preserve">organizacji i sposobu przyjęcia na oddział </w:t>
      </w:r>
      <w:r>
        <w:rPr>
          <w:rFonts w:cs="Calibri" w:ascii="Calibri" w:hAnsi="Calibri"/>
        </w:rPr>
        <w:t xml:space="preserve">(rys. 32) </w:t>
      </w:r>
      <w:r>
        <w:rPr>
          <w:rFonts w:cs="Calibri" w:ascii="Calibri" w:hAnsi="Calibri"/>
          <w:lang w:val="x-none"/>
        </w:rPr>
        <w:t>– bardzo dobrze wskazało 81,94% ankietowanych,</w:t>
      </w:r>
      <w:r>
        <w:rPr>
          <w:rFonts w:cs="Calibri" w:ascii="Calibri" w:hAnsi="Calibri"/>
        </w:rPr>
        <w:t xml:space="preserve"> </w:t>
      </w:r>
      <w:r>
        <w:rPr>
          <w:rFonts w:cs="Calibri" w:ascii="Calibri" w:hAnsi="Calibri"/>
          <w:lang w:val="x-none"/>
        </w:rPr>
        <w:t xml:space="preserve">dobrze 15,74% , raczej dobrze </w:t>
      </w:r>
      <w:r>
        <w:rPr>
          <w:rFonts w:cs="Calibri" w:ascii="Calibri" w:hAnsi="Calibri"/>
        </w:rPr>
        <w:t>1,85</w:t>
      </w:r>
      <w:r>
        <w:rPr>
          <w:rFonts w:cs="Calibri" w:ascii="Calibri" w:hAnsi="Calibri"/>
          <w:lang w:val="x-none"/>
        </w:rPr>
        <w:t xml:space="preserve">% ankietowanych, źle – 0,46%, nikt  nie wskazał odpowiedzi  bardzo źle. 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 xml:space="preserve">uprzejmość personelu </w:t>
      </w:r>
      <w:r>
        <w:rPr>
          <w:rFonts w:cs="Calibri" w:ascii="Calibri" w:hAnsi="Calibri"/>
        </w:rPr>
        <w:t xml:space="preserve">(rys. 33) </w:t>
      </w:r>
      <w:r>
        <w:rPr>
          <w:rFonts w:cs="Calibri" w:ascii="Calibri" w:hAnsi="Calibri"/>
          <w:lang w:val="x-none"/>
        </w:rPr>
        <w:t xml:space="preserve">– </w:t>
      </w:r>
      <w:r>
        <w:rPr>
          <w:rFonts w:cs="Calibri" w:ascii="Calibri" w:hAnsi="Calibri"/>
        </w:rPr>
        <w:t>88,43</w:t>
      </w:r>
      <w:r>
        <w:rPr>
          <w:rFonts w:cs="Calibri" w:ascii="Calibri" w:hAnsi="Calibri"/>
          <w:lang w:val="x-none"/>
        </w:rPr>
        <w:t xml:space="preserve">% wskazało odpowiedz bardzo dobrze, dobrze </w:t>
      </w:r>
      <w:r>
        <w:rPr>
          <w:rFonts w:cs="Calibri" w:ascii="Calibri" w:hAnsi="Calibri"/>
        </w:rPr>
        <w:t>8,33</w:t>
      </w:r>
      <w:r>
        <w:rPr>
          <w:rFonts w:cs="Calibri" w:ascii="Calibri" w:hAnsi="Calibri"/>
          <w:lang w:val="x-none"/>
        </w:rPr>
        <w:t xml:space="preserve">%, raczej dobrze </w:t>
      </w:r>
      <w:r>
        <w:rPr>
          <w:rFonts w:cs="Calibri" w:ascii="Calibri" w:hAnsi="Calibri"/>
        </w:rPr>
        <w:t>2,31</w:t>
      </w:r>
      <w:r>
        <w:rPr>
          <w:rFonts w:cs="Calibri" w:ascii="Calibri" w:hAnsi="Calibri"/>
          <w:lang w:val="x-none"/>
        </w:rPr>
        <w:t>%,  źle – 0,93%, nikt  nie wskazał odpowiedzi bardzo źle.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troska i zainteresowanie</w:t>
      </w:r>
      <w:r>
        <w:rPr>
          <w:rFonts w:cs="Calibri" w:ascii="Calibri" w:hAnsi="Calibri"/>
        </w:rPr>
        <w:t xml:space="preserve"> (rys. 34)</w:t>
      </w:r>
      <w:r>
        <w:rPr>
          <w:rFonts w:cs="Calibri" w:ascii="Calibri" w:hAnsi="Calibri"/>
          <w:lang w:val="x-none"/>
        </w:rPr>
        <w:t xml:space="preserve"> – bardzo dobrze wskazało </w:t>
      </w:r>
      <w:r>
        <w:rPr>
          <w:rFonts w:cs="Calibri" w:ascii="Calibri" w:hAnsi="Calibri"/>
        </w:rPr>
        <w:t>87,96</w:t>
      </w:r>
      <w:r>
        <w:rPr>
          <w:rFonts w:cs="Calibri" w:ascii="Calibri" w:hAnsi="Calibri"/>
          <w:lang w:val="x-none"/>
        </w:rPr>
        <w:t>% ankietowanych,</w:t>
      </w:r>
      <w:r>
        <w:rPr>
          <w:rFonts w:cs="Calibri" w:ascii="Calibri" w:hAnsi="Calibri"/>
        </w:rPr>
        <w:t xml:space="preserve"> </w:t>
      </w:r>
      <w:r>
        <w:rPr>
          <w:rFonts w:cs="Calibri" w:ascii="Calibri" w:hAnsi="Calibri"/>
          <w:lang w:val="x-none"/>
        </w:rPr>
        <w:t xml:space="preserve">dobrze oceniło </w:t>
      </w:r>
      <w:r>
        <w:rPr>
          <w:rFonts w:cs="Calibri" w:ascii="Calibri" w:hAnsi="Calibri"/>
        </w:rPr>
        <w:t>9,72</w:t>
      </w:r>
      <w:r>
        <w:rPr>
          <w:rFonts w:cs="Calibri" w:ascii="Calibri" w:hAnsi="Calibri"/>
          <w:lang w:val="x-none"/>
        </w:rPr>
        <w:t xml:space="preserve">%, raczej dobrze  </w:t>
      </w:r>
      <w:r>
        <w:rPr>
          <w:rFonts w:cs="Calibri" w:ascii="Calibri" w:hAnsi="Calibri"/>
        </w:rPr>
        <w:t>1,85</w:t>
      </w:r>
      <w:r>
        <w:rPr>
          <w:rFonts w:cs="Calibri" w:ascii="Calibri" w:hAnsi="Calibri"/>
          <w:lang w:val="x-none"/>
        </w:rPr>
        <w:t>%</w:t>
      </w:r>
      <w:r>
        <w:rPr>
          <w:rFonts w:cs="Calibri" w:ascii="Calibri" w:hAnsi="Calibri"/>
        </w:rPr>
        <w:t xml:space="preserve">, źle – 0,46%, </w:t>
      </w:r>
      <w:r>
        <w:rPr>
          <w:rFonts w:cs="Calibri" w:ascii="Calibri" w:hAnsi="Calibri"/>
          <w:lang w:val="x-none"/>
        </w:rPr>
        <w:t>nikt  nie wskazał odpowiedzi</w:t>
      </w:r>
      <w:r>
        <w:rPr>
          <w:rFonts w:cs="Calibri" w:ascii="Calibri" w:hAnsi="Calibri"/>
        </w:rPr>
        <w:t> </w:t>
      </w:r>
      <w:r>
        <w:rPr>
          <w:rFonts w:cs="Calibri" w:ascii="Calibri" w:hAnsi="Calibri"/>
          <w:lang w:val="x-none"/>
        </w:rPr>
        <w:t xml:space="preserve">bardzo źle. </w:t>
      </w:r>
    </w:p>
    <w:p>
      <w:pPr>
        <w:pStyle w:val="Normal"/>
        <w:numPr>
          <w:ilvl w:val="0"/>
          <w:numId w:val="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 xml:space="preserve">warunki w Izbie Przyjęć </w:t>
      </w:r>
      <w:r>
        <w:rPr>
          <w:rFonts w:cs="Calibri" w:ascii="Calibri" w:hAnsi="Calibri"/>
        </w:rPr>
        <w:t xml:space="preserve">(rys. 35) </w:t>
      </w:r>
      <w:r>
        <w:rPr>
          <w:rFonts w:cs="Calibri" w:ascii="Calibri" w:hAnsi="Calibri"/>
          <w:lang w:val="x-none"/>
        </w:rPr>
        <w:t xml:space="preserve">– </w:t>
      </w:r>
      <w:r>
        <w:rPr>
          <w:rFonts w:cs="Calibri" w:ascii="Calibri" w:hAnsi="Calibri"/>
        </w:rPr>
        <w:t xml:space="preserve"> bardzo dobrze wskazało 87,96%</w:t>
      </w:r>
      <w:r>
        <w:rPr>
          <w:rFonts w:cs="Calibri" w:ascii="Calibri" w:hAnsi="Calibri"/>
          <w:lang w:val="x-none"/>
        </w:rPr>
        <w:t xml:space="preserve">, dobrze </w:t>
      </w:r>
      <w:r>
        <w:rPr>
          <w:rFonts w:cs="Calibri" w:ascii="Calibri" w:hAnsi="Calibri"/>
        </w:rPr>
        <w:t>11,57%, raczej dobrze 0,46%</w:t>
      </w:r>
      <w:r>
        <w:rPr>
          <w:rFonts w:cs="Calibri" w:ascii="Calibri" w:hAnsi="Calibri"/>
          <w:lang w:val="x-none"/>
        </w:rPr>
        <w:t xml:space="preserve">, nikt  nie wskazał odpowiedzi źle i  bardzo źle. </w:t>
      </w:r>
    </w:p>
    <w:p>
      <w:pPr>
        <w:pStyle w:val="Caption"/>
        <w:spacing w:lineRule="auto" w:line="276"/>
        <w:jc w:val="center"/>
        <w:rPr/>
      </w:pPr>
      <w:r>
        <w:rPr/>
        <w:drawing>
          <wp:inline distT="0" distB="0" distL="0" distR="0">
            <wp:extent cx="4782185" cy="1810385"/>
            <wp:effectExtent l="0" t="0" r="0" b="0"/>
            <wp:docPr id="33" name="Obraz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32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43" w:name="_Toc16573648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funkcjonowania i organizacji Izby Przyjęć</w:t>
      </w:r>
      <w:bookmarkEnd w:id="43"/>
    </w:p>
    <w:p>
      <w:pPr>
        <w:pStyle w:val="Normal"/>
        <w:spacing w:lineRule="auto" w:line="276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/>
        <w:drawing>
          <wp:inline distT="0" distB="0" distL="0" distR="0">
            <wp:extent cx="4410710" cy="1867535"/>
            <wp:effectExtent l="0" t="0" r="0" b="0"/>
            <wp:docPr id="34" name="Obraz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33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44" w:name="_Toc16573648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Uprzejmość personelu Izby Przyjęć</w:t>
      </w:r>
      <w:bookmarkEnd w:id="44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/>
        <w:drawing>
          <wp:inline distT="0" distB="0" distL="0" distR="0">
            <wp:extent cx="5086985" cy="1934210"/>
            <wp:effectExtent l="0" t="0" r="0" b="0"/>
            <wp:docPr id="35" name="Obraz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34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45" w:name="_Toc16573648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Troska i zainteresowanie</w:t>
      </w:r>
      <w:bookmarkEnd w:id="45"/>
    </w:p>
    <w:p>
      <w:pPr>
        <w:pStyle w:val="Normal"/>
        <w:spacing w:lineRule="auto" w:line="276"/>
        <w:jc w:val="center"/>
        <w:rPr/>
      </w:pPr>
      <w:r>
        <w:rPr/>
      </w:r>
    </w:p>
    <w:p>
      <w:pPr>
        <w:pStyle w:val="Normal"/>
        <w:spacing w:lineRule="auto" w:line="276"/>
        <w:jc w:val="center"/>
        <w:rPr/>
      </w:pPr>
      <w:r>
        <w:rPr/>
        <w:drawing>
          <wp:inline distT="0" distB="0" distL="0" distR="0">
            <wp:extent cx="4925060" cy="2152650"/>
            <wp:effectExtent l="0" t="0" r="0" b="0"/>
            <wp:docPr id="36" name="Obraz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35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06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lang w:val="x-none"/>
        </w:rPr>
      </w:pPr>
      <w:bookmarkStart w:id="46" w:name="_Toc16573648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Warunki w Izbie Przyjęć</w:t>
      </w:r>
      <w:bookmarkEnd w:id="46"/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Zapytano respondentów czy podczas przyjęcia dziecka na oddział poinformowano o:</w:t>
      </w:r>
    </w:p>
    <w:p>
      <w:pPr>
        <w:pStyle w:val="Normal"/>
        <w:numPr>
          <w:ilvl w:val="0"/>
          <w:numId w:val="4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przysługujących prawach pacjenta</w:t>
      </w:r>
      <w:r>
        <w:rPr>
          <w:rFonts w:cs="Calibri" w:ascii="Calibri" w:hAnsi="Calibri"/>
        </w:rPr>
        <w:t xml:space="preserve"> (rys. 36): 79,17</w:t>
      </w:r>
      <w:r>
        <w:rPr>
          <w:rFonts w:cs="Calibri" w:ascii="Calibri" w:hAnsi="Calibri"/>
          <w:lang w:val="x-none"/>
        </w:rPr>
        <w:t xml:space="preserve">% odpowiedziało </w:t>
      </w:r>
      <w:r>
        <w:rPr>
          <w:rFonts w:cs="Calibri" w:ascii="Calibri" w:hAnsi="Calibri"/>
        </w:rPr>
        <w:t>twierdząco</w:t>
      </w:r>
      <w:r>
        <w:rPr>
          <w:rFonts w:cs="Calibri" w:ascii="Calibri" w:hAnsi="Calibri"/>
          <w:lang w:val="x-none"/>
        </w:rPr>
        <w:t>, 15,74% ankietowanych</w:t>
      </w:r>
      <w:r>
        <w:rPr>
          <w:rFonts w:cs="Calibri" w:ascii="Calibri" w:hAnsi="Calibri"/>
        </w:rPr>
        <w:t xml:space="preserve"> nie potrzebowało takiej informacji. 5,09% (jedna osoba) odpowiedziała negatywnie.</w:t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/>
        </w:rPr>
      </w:pPr>
      <w:r>
        <w:rPr/>
        <w:drawing>
          <wp:inline distT="0" distB="0" distL="0" distR="0">
            <wp:extent cx="5315585" cy="1943100"/>
            <wp:effectExtent l="0" t="0" r="0" b="0"/>
            <wp:docPr id="37" name="Obraz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36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47" w:name="_Toc16573648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Informacja o przysługujących prawach pacjenta</w:t>
      </w:r>
      <w:bookmarkEnd w:id="47"/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numPr>
          <w:ilvl w:val="0"/>
          <w:numId w:val="4"/>
        </w:numPr>
        <w:spacing w:lineRule="auto" w:line="276"/>
        <w:rPr/>
      </w:pPr>
      <w:r>
        <w:rPr>
          <w:rFonts w:cs="Calibri" w:ascii="Calibri" w:hAnsi="Calibri"/>
          <w:lang w:val="x-none"/>
        </w:rPr>
        <w:t xml:space="preserve">zasadach pobytu na oddziale </w:t>
      </w:r>
      <w:r>
        <w:rPr>
          <w:rFonts w:cs="Calibri" w:ascii="Calibri" w:hAnsi="Calibri"/>
        </w:rPr>
        <w:t xml:space="preserve"> (rys. 37): 88,43</w:t>
      </w:r>
      <w:r>
        <w:rPr>
          <w:rFonts w:cs="Calibri" w:ascii="Calibri" w:hAnsi="Calibri"/>
          <w:lang w:val="x-none"/>
        </w:rPr>
        <w:t xml:space="preserve">% odpowiedziało </w:t>
      </w:r>
      <w:r>
        <w:rPr>
          <w:rFonts w:cs="Calibri" w:ascii="Calibri" w:hAnsi="Calibri"/>
        </w:rPr>
        <w:t>twierdząco</w:t>
      </w:r>
      <w:r>
        <w:rPr>
          <w:rFonts w:cs="Calibri" w:ascii="Calibri" w:hAnsi="Calibri"/>
          <w:lang w:val="x-none"/>
        </w:rPr>
        <w:t xml:space="preserve">, </w:t>
      </w:r>
      <w:r>
        <w:rPr>
          <w:rFonts w:cs="Calibri" w:ascii="Calibri" w:hAnsi="Calibri"/>
        </w:rPr>
        <w:t>7,41</w:t>
      </w:r>
      <w:r>
        <w:rPr>
          <w:rFonts w:cs="Calibri" w:ascii="Calibri" w:hAnsi="Calibri"/>
          <w:lang w:val="x-none"/>
        </w:rPr>
        <w:t>% ankietowanych</w:t>
      </w:r>
      <w:r>
        <w:rPr>
          <w:rFonts w:cs="Calibri" w:ascii="Calibri" w:hAnsi="Calibri"/>
        </w:rPr>
        <w:t xml:space="preserve"> nie potrzebowało takiej informacji, 4,17% odpowiedziało przecząco.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4582160" cy="1962150"/>
            <wp:effectExtent l="0" t="0" r="0" b="0"/>
            <wp:docPr id="38" name="Obraz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az37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1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48" w:name="_Toc16573648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Informacja o zasadach pobytu na oddziale</w:t>
      </w:r>
      <w:bookmarkEnd w:id="48"/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Standard"/>
        <w:numPr>
          <w:ilvl w:val="0"/>
          <w:numId w:val="5"/>
        </w:numPr>
        <w:spacing w:lineRule="auto" w:line="276"/>
        <w:ind w:left="851" w:hanging="425"/>
        <w:rPr>
          <w:rFonts w:ascii="Calibri" w:hAnsi="Calibri" w:cs="Calibri"/>
        </w:rPr>
      </w:pPr>
      <w:r>
        <w:rPr>
          <w:rFonts w:eastAsia="Calibri" w:cs="Calibri" w:ascii="Calibri" w:hAnsi="Calibri"/>
          <w:color w:val="000000"/>
          <w:lang w:val="x-none"/>
        </w:rPr>
        <w:t xml:space="preserve"> </w:t>
      </w:r>
      <w:r>
        <w:rPr>
          <w:rFonts w:cs="Calibri" w:ascii="Calibri" w:hAnsi="Calibri"/>
          <w:color w:val="000000"/>
          <w:lang w:val="x-none"/>
        </w:rPr>
        <w:t xml:space="preserve">terminach planowych zabiegów/ badań, czasu hospitalizacji </w:t>
      </w:r>
      <w:r>
        <w:rPr>
          <w:rFonts w:cs="Calibri" w:ascii="Calibri" w:hAnsi="Calibri"/>
        </w:rPr>
        <w:t xml:space="preserve"> (rys. 38): 87,50</w:t>
      </w:r>
      <w:r>
        <w:rPr>
          <w:rFonts w:cs="Calibri" w:ascii="Calibri" w:hAnsi="Calibri"/>
          <w:lang w:val="x-none"/>
        </w:rPr>
        <w:t xml:space="preserve">% odpowiedziało </w:t>
      </w:r>
      <w:r>
        <w:rPr>
          <w:rFonts w:cs="Calibri" w:ascii="Calibri" w:hAnsi="Calibri"/>
        </w:rPr>
        <w:t>twierdząco</w:t>
      </w:r>
      <w:r>
        <w:rPr>
          <w:rFonts w:cs="Calibri" w:ascii="Calibri" w:hAnsi="Calibri"/>
          <w:lang w:val="x-none"/>
        </w:rPr>
        <w:t xml:space="preserve">, </w:t>
      </w:r>
      <w:r>
        <w:rPr>
          <w:rFonts w:cs="Calibri" w:ascii="Calibri" w:hAnsi="Calibri"/>
        </w:rPr>
        <w:t>6,64</w:t>
      </w:r>
      <w:r>
        <w:rPr>
          <w:rFonts w:cs="Calibri" w:ascii="Calibri" w:hAnsi="Calibri"/>
          <w:lang w:val="x-none"/>
        </w:rPr>
        <w:t>% ankietowanych</w:t>
      </w:r>
      <w:r>
        <w:rPr>
          <w:rFonts w:cs="Calibri" w:ascii="Calibri" w:hAnsi="Calibri"/>
        </w:rPr>
        <w:t xml:space="preserve"> nie potrzebowało takiej informacji, 5,56% odpowiedziało negatywnie.</w:t>
      </w:r>
    </w:p>
    <w:p>
      <w:pPr>
        <w:pStyle w:val="Standard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4629785" cy="1934210"/>
            <wp:effectExtent l="0" t="0" r="0" b="0"/>
            <wp:docPr id="39" name="Obraz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38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</w:rPr>
      </w:pPr>
      <w:bookmarkStart w:id="49" w:name="_Toc16573648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Informacja o  terminach planowych zabiegów/ badań, czasu hospitalizacji</w:t>
      </w:r>
      <w:bookmarkEnd w:id="49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numPr>
          <w:ilvl w:val="0"/>
          <w:numId w:val="6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color w:val="000000"/>
          <w:lang w:val="x-none"/>
        </w:rPr>
        <w:t xml:space="preserve">sposobie przygotowania dziecka do zabiegu/ badań ( dieta/ toaleta) </w:t>
      </w:r>
      <w:r>
        <w:rPr>
          <w:rFonts w:cs="Calibri" w:ascii="Calibri" w:hAnsi="Calibri"/>
        </w:rPr>
        <w:t>(rys. 39): 85,65</w:t>
      </w:r>
      <w:r>
        <w:rPr>
          <w:rFonts w:cs="Calibri" w:ascii="Calibri" w:hAnsi="Calibri"/>
          <w:lang w:val="x-none"/>
        </w:rPr>
        <w:t xml:space="preserve">% odpowiedziało </w:t>
      </w:r>
      <w:r>
        <w:rPr>
          <w:rFonts w:cs="Calibri" w:ascii="Calibri" w:hAnsi="Calibri"/>
        </w:rPr>
        <w:t>twierdząco</w:t>
      </w:r>
      <w:r>
        <w:rPr>
          <w:rFonts w:cs="Calibri" w:ascii="Calibri" w:hAnsi="Calibri"/>
          <w:lang w:val="x-none"/>
        </w:rPr>
        <w:t xml:space="preserve">, </w:t>
      </w:r>
      <w:r>
        <w:rPr>
          <w:rFonts w:cs="Calibri" w:ascii="Calibri" w:hAnsi="Calibri"/>
        </w:rPr>
        <w:t>10,65</w:t>
      </w:r>
      <w:r>
        <w:rPr>
          <w:rFonts w:cs="Calibri" w:ascii="Calibri" w:hAnsi="Calibri"/>
          <w:lang w:val="x-none"/>
        </w:rPr>
        <w:t>% ankietowanych</w:t>
      </w:r>
      <w:r>
        <w:rPr>
          <w:rFonts w:cs="Calibri" w:ascii="Calibri" w:hAnsi="Calibri"/>
        </w:rPr>
        <w:t xml:space="preserve"> nie potrzebowało takiej informacji, 3,70% odpowiedziało negatywnie.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/>
        <w:drawing>
          <wp:inline distT="0" distB="0" distL="0" distR="0">
            <wp:extent cx="4439285" cy="2077085"/>
            <wp:effectExtent l="0" t="0" r="0" b="0"/>
            <wp:docPr id="40" name="Obraz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39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bookmarkStart w:id="50" w:name="_Toc165736490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39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Informacja o  sposobie przygotowania dziecka do zabiegu/ badań (dieta/ toaleta)</w:t>
      </w:r>
      <w:bookmarkEnd w:id="50"/>
      <w:r>
        <w:br w:type="page"/>
      </w:r>
    </w:p>
    <w:p>
      <w:pPr>
        <w:pStyle w:val="Nagwek5"/>
        <w:numPr>
          <w:ilvl w:val="4"/>
          <w:numId w:val="2"/>
        </w:numPr>
        <w:spacing w:lineRule="auto" w:line="276"/>
        <w:rPr>
          <w:rFonts w:ascii="Calibri" w:hAnsi="Calibri" w:cs="Calibri"/>
        </w:rPr>
      </w:pPr>
      <w:bookmarkStart w:id="51" w:name="_Toc165530286"/>
      <w:r>
        <w:rPr>
          <w:rFonts w:cs="Calibri" w:ascii="Calibri" w:hAnsi="Calibri"/>
        </w:rPr>
        <w:t>POBYT W ODDZIALE</w:t>
      </w:r>
      <w:bookmarkEnd w:id="51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  <w:color w:val="000000"/>
          <w:lang w:val="x-none"/>
        </w:rPr>
        <w:t>Ocena personelu  lekarskiego/lekarza prowadzącego lub lekarza z którym  kontakt był najczęstszy. Takie pytanie zadano ankietowanym i uzyskano  odpowiedzi w następujących pytaniach:</w:t>
      </w:r>
      <w:r>
        <w:rPr>
          <w:rFonts w:cs="Calibri" w:ascii="Calibri" w:hAnsi="Calibri"/>
          <w:color w:val="000000"/>
        </w:rPr>
        <w:t xml:space="preserve"> </w:t>
      </w:r>
    </w:p>
    <w:p>
      <w:pPr>
        <w:pStyle w:val="Normal"/>
        <w:numPr>
          <w:ilvl w:val="0"/>
          <w:numId w:val="7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color w:val="000000"/>
          <w:lang w:val="x-none"/>
        </w:rPr>
        <w:t xml:space="preserve">ilość </w:t>
      </w:r>
      <w:r>
        <w:rPr>
          <w:rFonts w:cs="Calibri" w:ascii="Calibri" w:hAnsi="Calibri"/>
          <w:color w:val="000000"/>
        </w:rPr>
        <w:t xml:space="preserve">czasu </w:t>
      </w:r>
      <w:r>
        <w:rPr>
          <w:rFonts w:cs="Calibri" w:ascii="Calibri" w:hAnsi="Calibri"/>
          <w:color w:val="000000"/>
          <w:lang w:val="x-none"/>
        </w:rPr>
        <w:t xml:space="preserve">poświęconego dziecku </w:t>
      </w:r>
      <w:r>
        <w:rPr>
          <w:rFonts w:cs="Calibri" w:ascii="Calibri" w:hAnsi="Calibri"/>
          <w:color w:val="000000"/>
        </w:rPr>
        <w:t>rys. 40 – bardzo dobrze – 88,43%, dobrze – 9,26%, raczej dobrze – 1,39%, źle – 0,93%. Nikt nie wskazał odpowiedzi bardzo źle .</w:t>
      </w:r>
    </w:p>
    <w:p>
      <w:pPr>
        <w:pStyle w:val="Normal"/>
        <w:keepNext w:val="true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286885" cy="1972310"/>
            <wp:effectExtent l="0" t="0" r="0" b="0"/>
            <wp:docPr id="41" name="Obraz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40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52" w:name="_Toc165736491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40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Ilość czasu poświęconego dziecku</w:t>
      </w:r>
      <w:bookmarkEnd w:id="52"/>
    </w:p>
    <w:p>
      <w:pPr>
        <w:pStyle w:val="Normal"/>
        <w:numPr>
          <w:ilvl w:val="0"/>
          <w:numId w:val="7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color w:val="000000"/>
          <w:lang w:val="x-none"/>
        </w:rPr>
        <w:t xml:space="preserve">życzliwość lekarza </w:t>
      </w:r>
      <w:r>
        <w:rPr>
          <w:rFonts w:cs="Calibri" w:ascii="Calibri" w:hAnsi="Calibri"/>
          <w:color w:val="000000"/>
        </w:rPr>
        <w:t xml:space="preserve">(rys. 41) – bardzo dobrze – </w:t>
      </w:r>
      <w:r>
        <w:rPr>
          <w:rFonts w:cs="Calibri" w:ascii="Calibri" w:hAnsi="Calibri"/>
        </w:rPr>
        <w:t>90,74%</w:t>
      </w:r>
      <w:r>
        <w:rPr>
          <w:rFonts w:cs="Calibri" w:ascii="Calibri" w:hAnsi="Calibri"/>
          <w:color w:val="000000"/>
          <w:lang w:val="x-none"/>
        </w:rPr>
        <w:t xml:space="preserve">, dobrze </w:t>
      </w:r>
      <w:r>
        <w:rPr>
          <w:rFonts w:cs="Calibri" w:ascii="Calibri" w:hAnsi="Calibri"/>
          <w:color w:val="000000"/>
        </w:rPr>
        <w:t>– 8,33%</w:t>
      </w:r>
      <w:r>
        <w:rPr>
          <w:rFonts w:cs="Calibri" w:ascii="Calibri" w:hAnsi="Calibri"/>
          <w:color w:val="000000"/>
          <w:lang w:val="x-none"/>
        </w:rPr>
        <w:t>, raczej dobrze wskazało</w:t>
      </w:r>
      <w:r>
        <w:rPr>
          <w:rFonts w:cs="Calibri" w:ascii="Calibri" w:hAnsi="Calibri"/>
          <w:color w:val="000000"/>
        </w:rPr>
        <w:t xml:space="preserve"> 0,46%, źle – 0,46%. N</w:t>
      </w:r>
      <w:r>
        <w:rPr>
          <w:rFonts w:cs="Calibri" w:ascii="Calibri" w:hAnsi="Calibri"/>
          <w:color w:val="000000"/>
          <w:lang w:val="x-none"/>
        </w:rPr>
        <w:t>ikt nie zaznaczył odpowiedzi</w:t>
      </w:r>
      <w:r>
        <w:rPr>
          <w:rFonts w:cs="Calibri" w:ascii="Calibri" w:hAnsi="Calibri"/>
          <w:color w:val="000000"/>
        </w:rPr>
        <w:t xml:space="preserve"> bardzo źle.</w:t>
      </w:r>
    </w:p>
    <w:p>
      <w:pPr>
        <w:pStyle w:val="Normal"/>
        <w:spacing w:lineRule="auto" w:line="276"/>
        <w:ind w:left="720" w:hanging="0"/>
        <w:rPr>
          <w:rFonts w:ascii="Calibri" w:hAnsi="Calibri" w:cs="Calibri"/>
        </w:rPr>
      </w:pPr>
      <w:r>
        <w:rPr/>
        <w:drawing>
          <wp:inline distT="0" distB="0" distL="0" distR="0">
            <wp:extent cx="4182110" cy="2000250"/>
            <wp:effectExtent l="0" t="0" r="0" b="0"/>
            <wp:docPr id="42" name="Obraz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41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bookmarkStart w:id="53" w:name="_Toc16573649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Życzliwość lekarza</w:t>
      </w:r>
      <w:bookmarkEnd w:id="53"/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ind w:left="720" w:hanging="0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numPr>
          <w:ilvl w:val="0"/>
          <w:numId w:val="7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  <w:color w:val="000000"/>
          <w:lang w:val="x-none"/>
        </w:rPr>
        <w:t>dostępność lekarza</w:t>
      </w:r>
      <w:r>
        <w:rPr>
          <w:rFonts w:cs="Calibri" w:ascii="Calibri" w:hAnsi="Calibri"/>
          <w:bCs/>
          <w:color w:val="000000"/>
        </w:rPr>
        <w:t xml:space="preserve"> (rys. 42) – bardzo dobrze oceniło 90,74%, dobrze – 6,94%, raczej dobrze wskazało 1,85%, źle – 0,46%. Nikt nie wskazał odpowiedzi bardzo źle. 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/>
        <w:drawing>
          <wp:inline distT="0" distB="0" distL="0" distR="0">
            <wp:extent cx="4401185" cy="1819275"/>
            <wp:effectExtent l="0" t="0" r="0" b="0"/>
            <wp:docPr id="43" name="Obraz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42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</w:rPr>
      </w:pPr>
      <w:bookmarkStart w:id="54" w:name="_Toc16573649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Dostępność lekarza</w:t>
      </w:r>
      <w:bookmarkEnd w:id="54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sposób wyrażania się (rys. 43) – bardzo dobrze zaznaczyło – 89,81%, dobrze – 9,26%, raczej dobrze – 0,93% respondentów  wskazało odpowiedź ,, raczej dobrze”. Nikt z ankietowanych nie udzielił informacji źle i bardzo źle.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/>
        <w:drawing>
          <wp:inline distT="0" distB="0" distL="0" distR="0">
            <wp:extent cx="4639310" cy="1962150"/>
            <wp:effectExtent l="0" t="0" r="0" b="0"/>
            <wp:docPr id="44" name="Obraz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43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55" w:name="_Toc16573649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Sposób wyrażania się</w:t>
      </w:r>
      <w:bookmarkEnd w:id="55"/>
    </w:p>
    <w:p>
      <w:pPr>
        <w:pStyle w:val="Normal"/>
        <w:spacing w:lineRule="auto" w:line="276"/>
        <w:rPr>
          <w:rFonts w:ascii="Calibri" w:hAnsi="Calibri" w:cs="Calibri"/>
          <w:bCs/>
        </w:rPr>
      </w:pPr>
      <w:r>
        <w:rPr>
          <w:rFonts w:cs="Calibri" w:ascii="Calibri" w:hAnsi="Calibri"/>
          <w:bCs/>
        </w:rPr>
      </w:r>
    </w:p>
    <w:p>
      <w:pPr>
        <w:pStyle w:val="Normal"/>
        <w:spacing w:lineRule="auto" w:line="276"/>
        <w:rPr>
          <w:rFonts w:ascii="Calibri" w:hAnsi="Calibri" w:cs="Calibri"/>
          <w:bCs/>
        </w:rPr>
      </w:pPr>
      <w:r>
        <w:rPr>
          <w:rFonts w:cs="Calibri" w:ascii="Calibri" w:hAnsi="Calibri"/>
          <w:bCs/>
        </w:rPr>
      </w:r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/>
          <w:bCs/>
        </w:rPr>
        <w:t xml:space="preserve"> </w:t>
      </w:r>
      <w:r>
        <w:rPr>
          <w:rFonts w:cs="Calibri" w:ascii="Calibri" w:hAnsi="Calibri"/>
          <w:bCs/>
        </w:rPr>
        <w:t>Poproszono ankietowanych o wyrażenie opinii oceniającej pracę personelu pielęgniarskiego w następujących pytaniach.:</w:t>
      </w:r>
    </w:p>
    <w:p>
      <w:pPr>
        <w:pStyle w:val="Normal"/>
        <w:numPr>
          <w:ilvl w:val="0"/>
          <w:numId w:val="8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Ilość czasu poświęconego na opiekę nad dzieckiem (rys. 44) – 87,96% ankietowanych oceniło personel bardzo dobrze, 10,19% udzieliło odpowiedzi dobrze, 1,39% - raczej dobrze, źle – 0,46%. Nikt nie udzielił informacji  bardzo źle.</w:t>
      </w:r>
    </w:p>
    <w:p>
      <w:pPr>
        <w:pStyle w:val="Normal"/>
        <w:spacing w:lineRule="auto" w:line="276"/>
        <w:ind w:left="720" w:hanging="0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944110" cy="2105025"/>
            <wp:effectExtent l="0" t="0" r="0" b="0"/>
            <wp:docPr id="45" name="Obraz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44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56" w:name="_Toc16573649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Ilość czasu poświęconego na opiekę nad dzieckiem</w:t>
      </w:r>
      <w:bookmarkEnd w:id="56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numPr>
          <w:ilvl w:val="0"/>
          <w:numId w:val="8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Życzliwość pielęgniarek (rys. 45) – 88,89% oceniło pielęgniarki bardzo dobrze, 7,87% dobrze, 2,31% - raczej dobrze, źle – 0,46%.  Nikt nie udzielił informacji  bardzo źle.</w:t>
      </w:r>
    </w:p>
    <w:p>
      <w:pPr>
        <w:pStyle w:val="Normal"/>
        <w:spacing w:lineRule="auto" w:line="276"/>
        <w:ind w:left="720" w:hanging="0"/>
        <w:jc w:val="center"/>
        <w:rPr>
          <w:rFonts w:ascii="Calibri" w:hAnsi="Calibri" w:cs="Calibri"/>
          <w:b/>
          <w:b/>
          <w:bCs/>
          <w:lang w:val="x-none"/>
        </w:rPr>
      </w:pPr>
      <w:r>
        <w:rPr/>
        <w:drawing>
          <wp:inline distT="0" distB="0" distL="0" distR="0">
            <wp:extent cx="4172585" cy="1953260"/>
            <wp:effectExtent l="0" t="0" r="0" b="0"/>
            <wp:docPr id="46" name="Obraz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45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bookmarkStart w:id="57" w:name="_Toc16573649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Życzliwość pielęgniarek</w:t>
      </w:r>
      <w:bookmarkEnd w:id="57"/>
    </w:p>
    <w:p>
      <w:pPr>
        <w:pStyle w:val="Normal"/>
        <w:spacing w:lineRule="auto" w:line="276"/>
        <w:ind w:left="720" w:hanging="0"/>
        <w:jc w:val="center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Dostępność pielęgniarek w razie potrzeby (rys. 46) – bardzo dobrze wskazało 90,28%, dobrze 8,33%, 1,39% respondentów dostępność oceniło raczej dobrze. Nikt nie wskazał odpowiedzi źle i bardzo źle 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/>
        <w:drawing>
          <wp:inline distT="0" distB="0" distL="0" distR="0">
            <wp:extent cx="4429760" cy="2190750"/>
            <wp:effectExtent l="0" t="0" r="0" b="0"/>
            <wp:docPr id="47" name="Obraz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46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58" w:name="_Toc16573649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Dostępność pielęgniarek</w:t>
      </w:r>
      <w:bookmarkEnd w:id="58"/>
    </w:p>
    <w:p>
      <w:pPr>
        <w:pStyle w:val="Normal"/>
        <w:numPr>
          <w:ilvl w:val="0"/>
          <w:numId w:val="8"/>
        </w:numPr>
        <w:spacing w:lineRule="auto" w:line="276"/>
        <w:jc w:val="both"/>
        <w:rPr/>
      </w:pPr>
      <w:r>
        <w:rPr>
          <w:rFonts w:cs="Calibri" w:ascii="Calibri" w:hAnsi="Calibri"/>
          <w:bCs/>
        </w:rPr>
        <w:t>Szybkość reakcji na prośby rodziców/dziecka (rys. 47) – 85,65% wskazało odpowiedź bardzo dobrze, dobrze wskazało 12,50%, raczej dobrze wskazało 1,39%. Nikt nie wskazał odpowiedzi źle i bardzo źle . Jedna osoba zaznaczyła odpowiedź inne.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/>
        <w:drawing>
          <wp:inline distT="0" distB="0" distL="0" distR="0">
            <wp:extent cx="4648835" cy="2105025"/>
            <wp:effectExtent l="0" t="0" r="0" b="0"/>
            <wp:docPr id="48" name="Obraz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47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59" w:name="_Toc16573649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47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Szybkość reakcji na prośby rodziców/dziecka</w:t>
      </w:r>
      <w:bookmarkEnd w:id="59"/>
    </w:p>
    <w:p>
      <w:pPr>
        <w:pStyle w:val="Normal"/>
        <w:spacing w:lineRule="auto" w:line="276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  <w:lang w:val="x-none"/>
        </w:rPr>
      </w:pPr>
      <w:r>
        <w:rPr>
          <w:rFonts w:cs="Calibri" w:ascii="Calibri" w:hAnsi="Calibri"/>
          <w:bCs/>
        </w:rPr>
        <w:t xml:space="preserve">Ankietowani udzielili odpowiedzi na temat uzyskiwanych informacji od personelu medycznego które dotyczyły: stanu zdrowia, sposobach leczenia, ryzyku związanym z podejmowanym leczeniem/zabiegiem. </w:t>
      </w:r>
    </w:p>
    <w:p>
      <w:pPr>
        <w:pStyle w:val="ListParagraph"/>
        <w:numPr>
          <w:ilvl w:val="0"/>
          <w:numId w:val="17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Na pytanie o udzielanie informacji na temat stanu zdrowia 96,30% ankietowanych potwierdziło udzielenie wyczerpujących informacji, 1,85% odpowiedziało negatywnie, natomiast 1,85% nie potrzebowała takich informacji.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544060" cy="1943100"/>
            <wp:effectExtent l="0" t="0" r="0" b="0"/>
            <wp:docPr id="49" name="Obraz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az48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60" w:name="_Toc165736499"/>
      <w:r>
        <w:rPr/>
        <w:t xml:space="preserve">Rysunek </w:t>
      </w:r>
      <w:r>
        <w:rPr/>
        <w:fldChar w:fldCharType="begin"/>
      </w:r>
      <w:r>
        <w:rPr/>
        <w:instrText> SEQ Rysunek \* ARABIC </w:instrText>
      </w:r>
      <w:r>
        <w:rPr/>
        <w:fldChar w:fldCharType="separate"/>
      </w:r>
      <w:r>
        <w:rPr/>
        <w:t>48</w:t>
      </w:r>
      <w:r>
        <w:rPr/>
        <w:fldChar w:fldCharType="end"/>
      </w:r>
      <w:r>
        <w:rPr/>
        <w:t xml:space="preserve"> Udzielanie wyczerpujących informacji o stanie zdrowia dziecka</w:t>
      </w:r>
      <w:bookmarkEnd w:id="60"/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numPr>
          <w:ilvl w:val="0"/>
          <w:numId w:val="17"/>
        </w:numPr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Na pytanie o udzielanie wyczerpujących informacji na temat sposobów leczenia 96,30% ankietowanych odpowiedziało twierdząco, negatywnie odpowiedziało 0,46%, natomiast 3,24% nie potrzebowało takich informacji.</w:t>
      </w:r>
    </w:p>
    <w:p>
      <w:pPr>
        <w:pStyle w:val="Caption"/>
        <w:spacing w:lineRule="auto" w:line="276"/>
        <w:jc w:val="center"/>
        <w:rPr>
          <w:b/>
          <w:b/>
          <w:bCs/>
          <w:i w:val="false"/>
          <w:i w:val="false"/>
          <w:iCs w:val="false"/>
        </w:rPr>
      </w:pPr>
      <w:r>
        <w:rPr>
          <w:b/>
          <w:bCs/>
          <w:i w:val="false"/>
          <w:iCs w:val="false"/>
        </w:rPr>
      </w:r>
    </w:p>
    <w:p>
      <w:pPr>
        <w:pStyle w:val="Caption"/>
        <w:spacing w:lineRule="auto" w:line="276"/>
        <w:rPr>
          <w:b/>
          <w:b/>
          <w:bCs/>
          <w:i w:val="false"/>
          <w:i w:val="false"/>
          <w:iCs w:val="false"/>
        </w:rPr>
      </w:pPr>
      <w:r>
        <w:rPr/>
        <w:drawing>
          <wp:inline distT="0" distB="0" distL="0" distR="0">
            <wp:extent cx="5115560" cy="1752600"/>
            <wp:effectExtent l="0" t="0" r="0" b="0"/>
            <wp:docPr id="50" name="Obraz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az49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ind w:left="720" w:hanging="0"/>
        <w:jc w:val="center"/>
        <w:rPr/>
      </w:pPr>
      <w:bookmarkStart w:id="61" w:name="_Toc165736500"/>
      <w:r>
        <w:rPr/>
        <w:t xml:space="preserve">Rysunek </w:t>
      </w:r>
      <w:r>
        <w:rPr/>
        <w:fldChar w:fldCharType="begin"/>
      </w:r>
      <w:r>
        <w:rPr/>
        <w:instrText> SEQ Rysunek \* ARABIC </w:instrText>
      </w:r>
      <w:r>
        <w:rPr/>
        <w:fldChar w:fldCharType="separate"/>
      </w:r>
      <w:r>
        <w:rPr/>
        <w:t>49</w:t>
      </w:r>
      <w:r>
        <w:rPr/>
        <w:fldChar w:fldCharType="end"/>
      </w:r>
      <w:r>
        <w:rPr/>
        <w:t>Udzielanie informacji na temat sposobów leczenia</w:t>
      </w:r>
      <w:bookmarkEnd w:id="61"/>
    </w:p>
    <w:p>
      <w:pPr>
        <w:pStyle w:val="Caption"/>
        <w:spacing w:lineRule="auto" w:line="276"/>
        <w:ind w:left="720" w:hanging="0"/>
        <w:jc w:val="center"/>
        <w:rPr/>
      </w:pPr>
      <w:r>
        <w:rPr/>
      </w:r>
    </w:p>
    <w:p>
      <w:pPr>
        <w:pStyle w:val="Caption"/>
        <w:numPr>
          <w:ilvl w:val="0"/>
          <w:numId w:val="17"/>
        </w:numPr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  <w:t>Na pytanie o udzielanie wystarczających informacji na temat ryzyka związanego z podjęciem leczenia/zabiegu, 77,31% ankietowanych odpowiedziało twierdząco, 20,83% nie potrzebowało takiej informacji, a 1,85% odpowiedziało negatywnie.</w:t>
      </w:r>
    </w:p>
    <w:p>
      <w:pPr>
        <w:pStyle w:val="Caption"/>
        <w:spacing w:lineRule="auto" w:line="276"/>
        <w:jc w:val="both"/>
        <w:rPr>
          <w:i w:val="false"/>
          <w:i w:val="false"/>
          <w:iCs w:val="false"/>
        </w:rPr>
      </w:pPr>
      <w:r>
        <w:rPr>
          <w:i w:val="false"/>
          <w:iCs w:val="false"/>
        </w:rPr>
      </w:r>
    </w:p>
    <w:p>
      <w:pPr>
        <w:pStyle w:val="Caption"/>
        <w:spacing w:lineRule="auto" w:line="276"/>
        <w:ind w:left="720" w:hanging="0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267960" cy="1981200"/>
            <wp:effectExtent l="0" t="0" r="0" b="0"/>
            <wp:docPr id="51" name="Obraz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50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62" w:name="_Toc165736501"/>
      <w:r>
        <w:rPr/>
        <w:t xml:space="preserve">Rysunek </w:t>
      </w:r>
      <w:r>
        <w:rPr/>
        <w:fldChar w:fldCharType="begin"/>
      </w:r>
      <w:r>
        <w:rPr/>
        <w:instrText> SEQ Rysunek \* ARABIC </w:instrText>
      </w:r>
      <w:r>
        <w:rPr/>
        <w:fldChar w:fldCharType="separate"/>
      </w:r>
      <w:r>
        <w:rPr/>
        <w:t>50</w:t>
      </w:r>
      <w:r>
        <w:rPr/>
        <w:fldChar w:fldCharType="end"/>
      </w:r>
      <w:r>
        <w:rPr/>
        <w:t xml:space="preserve"> Udzielanie informacji o ryzyku związanym z leczeniem</w:t>
      </w:r>
      <w:bookmarkEnd w:id="62"/>
      <w:r>
        <w:br w:type="page"/>
      </w:r>
    </w:p>
    <w:p>
      <w:pPr>
        <w:pStyle w:val="Caption"/>
        <w:spacing w:lineRule="auto" w:line="276"/>
        <w:ind w:hanging="0"/>
        <w:rPr>
          <w:i w:val="false"/>
          <w:i w:val="false"/>
          <w:iCs w:val="false"/>
        </w:rPr>
      </w:pPr>
      <w:bookmarkStart w:id="63" w:name="_Toc165530287"/>
      <w:r>
        <w:rPr>
          <w:b/>
          <w:bCs/>
          <w:i w:val="false"/>
          <w:iCs w:val="false"/>
        </w:rPr>
        <w:t>ŚRODOWISKO SZPITALNE</w:t>
      </w:r>
      <w:bookmarkEnd w:id="63"/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  <w:bCs/>
        </w:rPr>
        <w:t>Ocena żywienia oferowanego dzieciom w szpitalu. Ankietowani udzielili odpowiedzi na cztery pytania:</w:t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Urozmaicenie posiłków (rys. 51 ) – 54,17% wskazało odpowiedź bardzo dobrze, 25,93% dobrze, raczej dobrze – 14,35%, źle – 3,70% i bardzo źle – 1,85%.</w:t>
      </w:r>
    </w:p>
    <w:p>
      <w:pPr>
        <w:pStyle w:val="Normal"/>
        <w:spacing w:lineRule="auto" w:line="276"/>
        <w:ind w:left="720" w:hanging="0"/>
        <w:jc w:val="center"/>
        <w:rPr>
          <w:rFonts w:ascii="Calibri" w:hAnsi="Calibri" w:cs="Calibri"/>
          <w:bCs/>
        </w:rPr>
      </w:pPr>
      <w:r>
        <w:rPr/>
        <w:drawing>
          <wp:inline distT="0" distB="0" distL="0" distR="0">
            <wp:extent cx="4144010" cy="1934210"/>
            <wp:effectExtent l="0" t="0" r="0" b="0"/>
            <wp:docPr id="52" name="Obraz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51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1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Cs/>
        </w:rPr>
      </w:pPr>
      <w:bookmarkStart w:id="64" w:name="_Toc16573650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Urozmaicenie posiłków</w:t>
      </w:r>
      <w:bookmarkEnd w:id="64"/>
    </w:p>
    <w:p>
      <w:pPr>
        <w:pStyle w:val="Normal"/>
        <w:spacing w:lineRule="auto" w:line="276"/>
        <w:ind w:left="720" w:hanging="0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Ilość pożywienia (rys. 52) – 64,35% wskazało odpowiedź bardzo dobrze, 25,46% dobrze, raczej dobrze – 7,87%, źle – 1,39%, bardzo źle – 0,93%.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/>
        <w:drawing>
          <wp:inline distT="0" distB="0" distL="0" distR="0">
            <wp:extent cx="4220210" cy="2228850"/>
            <wp:effectExtent l="0" t="0" r="0" b="0"/>
            <wp:docPr id="53" name="Obraz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52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65" w:name="_Toc16573650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Ilość pożywienia</w:t>
      </w:r>
      <w:bookmarkEnd w:id="65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numPr>
          <w:ilvl w:val="0"/>
          <w:numId w:val="8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Temperatura posiłków (rys. 53) – 58,33% wskazało odpowiedź bardzo dobrze, 29,17% dobrze, raczej dobrze – 9,72%, źle – 1,85%, bardzo źle – 0,93%.</w:t>
      </w:r>
    </w:p>
    <w:p>
      <w:pPr>
        <w:pStyle w:val="Normal"/>
        <w:spacing w:lineRule="auto" w:line="276"/>
        <w:ind w:left="360" w:hanging="0"/>
        <w:jc w:val="center"/>
        <w:rPr>
          <w:rFonts w:ascii="Calibri" w:hAnsi="Calibri" w:cs="Calibri"/>
          <w:bCs/>
          <w:lang w:val="x-none" w:eastAsia="x-none"/>
        </w:rPr>
      </w:pPr>
      <w:r>
        <w:rPr/>
        <w:drawing>
          <wp:inline distT="0" distB="0" distL="0" distR="0">
            <wp:extent cx="4601210" cy="1991360"/>
            <wp:effectExtent l="0" t="0" r="0" b="0"/>
            <wp:docPr id="54" name="Obraz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az53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66" w:name="_Toc16573650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Temperatura  posiłków</w:t>
      </w:r>
      <w:bookmarkEnd w:id="66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numPr>
          <w:ilvl w:val="0"/>
          <w:numId w:val="8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Pomoc dziecku przy spożywaniu posiłków (rys. 54) – 69,44% wskazało odpowiedź bardzo dobrze, 23,61% dobrze, raczej dobrze – 5,09%, źle – 0,93%, bardzo źle – 0,93%.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 w:eastAsia="x-none"/>
        </w:rPr>
      </w:pPr>
      <w:r>
        <w:rPr/>
        <w:drawing>
          <wp:inline distT="0" distB="0" distL="0" distR="0">
            <wp:extent cx="4715510" cy="1991360"/>
            <wp:effectExtent l="0" t="0" r="0" b="0"/>
            <wp:docPr id="55" name="Obraz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54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  <w:lang w:val="x-none" w:eastAsia="x-none"/>
        </w:rPr>
      </w:pPr>
      <w:bookmarkStart w:id="67" w:name="_Toc16573650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Pomoc dziecku przy spożywaniu posiłków</w:t>
      </w:r>
      <w:bookmarkEnd w:id="67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  <w:bCs/>
        </w:rPr>
      </w:pPr>
      <w:r>
        <w:rPr>
          <w:rFonts w:cs="Calibri" w:ascii="Calibri" w:hAnsi="Calibri"/>
          <w:bCs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Zapytano ankietowanych o ocenę warunków panujących na oddziale pod względem następujących aspektów:</w:t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Czystość w salach chorych (rys. 55) – 89,81% wskazało odpowiedź bardzo dobrze, 8,33% dobrze, raczej dobrze – 1,39%, źle – 0,46. Nikt z ankietowanych nie zaznaczył odpowiedzi bardzo źle.</w:t>
      </w:r>
    </w:p>
    <w:p>
      <w:pPr>
        <w:pStyle w:val="Normal"/>
        <w:spacing w:lineRule="auto" w:line="276"/>
        <w:ind w:left="720" w:hanging="0"/>
        <w:jc w:val="both"/>
        <w:rPr>
          <w:rFonts w:ascii="Calibri" w:hAnsi="Calibri" w:cs="Calibri"/>
          <w:b/>
          <w:b/>
          <w:bCs/>
        </w:rPr>
      </w:pPr>
      <w:r>
        <w:rPr/>
        <w:drawing>
          <wp:inline distT="0" distB="0" distL="0" distR="0">
            <wp:extent cx="4667885" cy="1876425"/>
            <wp:effectExtent l="0" t="0" r="0" b="0"/>
            <wp:docPr id="56" name="Obraz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55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bookmarkStart w:id="68" w:name="_Toc16573650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Czystość w salach</w:t>
      </w:r>
      <w:bookmarkEnd w:id="68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  <w:lang w:val="x-none"/>
        </w:rPr>
      </w:pPr>
      <w:r>
        <w:rPr>
          <w:rFonts w:cs="Calibri" w:ascii="Calibri" w:hAnsi="Calibri"/>
          <w:b/>
          <w:bCs/>
          <w:lang w:val="x-none"/>
        </w:rPr>
      </w:r>
    </w:p>
    <w:p>
      <w:pPr>
        <w:pStyle w:val="Normal"/>
        <w:numPr>
          <w:ilvl w:val="0"/>
          <w:numId w:val="8"/>
        </w:numPr>
        <w:tabs>
          <w:tab w:val="clear" w:pos="708"/>
          <w:tab w:val="left" w:pos="-360" w:leader="none"/>
        </w:tabs>
        <w:spacing w:lineRule="auto" w:line="276"/>
        <w:ind w:left="360" w:hanging="360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Wyposażenie sal chorych ( meble, wieszaki, stoliki itp.) (rys. 56) – 83,33% wskazało odpowiedź bardzo dobrze, 13,43% dobrze, raczej dobrze – 2,78%, źle – 0,46%. Nikt z ankietowanych nie zaznaczył odpowiedzi bardzo źle.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/>
        <w:drawing>
          <wp:inline distT="0" distB="0" distL="0" distR="0">
            <wp:extent cx="4676775" cy="2085975"/>
            <wp:effectExtent l="0" t="0" r="0" b="0"/>
            <wp:docPr id="57" name="Obraz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56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69" w:name="_Toc16573650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Wyposażenie sal chorych</w:t>
      </w:r>
      <w:bookmarkEnd w:id="69"/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Czystość toalet i łazienek – 85,65% wskazało odpowiedź bardzo dobrze, 9,26% dobrze, raczej dobrze – 5,09%. Nikt z ankietowanych nie zaznaczył odpowiedzi źle i bardzo źle.</w:t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 w:eastAsia="x-none"/>
        </w:rPr>
      </w:pPr>
      <w:r>
        <w:rPr/>
        <w:drawing>
          <wp:inline distT="0" distB="0" distL="0" distR="0">
            <wp:extent cx="4772660" cy="2019300"/>
            <wp:effectExtent l="0" t="0" r="0" b="0"/>
            <wp:docPr id="58" name="Obraz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57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70" w:name="_Toc16573650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Czystość toalet i łazienek</w:t>
      </w:r>
      <w:bookmarkEnd w:id="70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Warunki snu i wypoczynku (rys. 58) – 76,39% wskazało odpowiedź bardzo dobrze, 17,59% dobrze, raczej dobrze – 5,09%, źle – 0,93%. Nikt z ankietowanych nie zaznaczył odpowiedzi bardzo źle.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/>
        <w:drawing>
          <wp:inline distT="0" distB="0" distL="0" distR="0">
            <wp:extent cx="4619625" cy="2085975"/>
            <wp:effectExtent l="0" t="0" r="0" b="0"/>
            <wp:docPr id="59" name="Obraz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az58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/>
      </w:pPr>
      <w:bookmarkStart w:id="71" w:name="_Toc16573650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Warunki snu i wypoczynku</w:t>
      </w:r>
      <w:bookmarkEnd w:id="71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numPr>
          <w:ilvl w:val="0"/>
          <w:numId w:val="8"/>
        </w:numPr>
        <w:spacing w:lineRule="auto" w:line="276"/>
        <w:jc w:val="both"/>
        <w:rPr/>
      </w:pPr>
      <w:r>
        <w:rPr>
          <w:rFonts w:cs="Calibri" w:ascii="Calibri" w:hAnsi="Calibri"/>
          <w:bCs/>
        </w:rPr>
        <w:t xml:space="preserve">Dostęp do telefonu i Internetu (rys. 59) – 75,49% wskazało odpowiedź bardzo dobrze, 15,28% dobrze, raczej dobrze – 7,87%, źle – 0,46%, bardzo źle – 0,93%. </w:t>
      </w:r>
    </w:p>
    <w:p>
      <w:pPr>
        <w:pStyle w:val="Normal"/>
        <w:spacing w:lineRule="auto" w:line="276"/>
        <w:ind w:left="720" w:hanging="0"/>
        <w:jc w:val="center"/>
        <w:rPr>
          <w:rFonts w:ascii="Calibri" w:hAnsi="Calibri" w:cs="Calibri"/>
          <w:bCs/>
        </w:rPr>
      </w:pPr>
      <w:r>
        <w:rPr/>
        <w:drawing>
          <wp:inline distT="0" distB="0" distL="0" distR="0">
            <wp:extent cx="4553585" cy="2228850"/>
            <wp:effectExtent l="0" t="0" r="0" b="0"/>
            <wp:docPr id="60" name="Obraz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59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8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bCs/>
        </w:rPr>
      </w:pPr>
      <w:bookmarkStart w:id="72" w:name="_Toc165736510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59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Dostęp do telefonu i Internetu</w:t>
      </w:r>
      <w:bookmarkEnd w:id="72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numPr>
          <w:ilvl w:val="0"/>
          <w:numId w:val="8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Możliwość ciekawego spędzenia czasu wolnego (sala zabaw, świetlica, biblioteczka) (rys. 60) – 70,83% wskazało odpowiedź bardzo dobrze a 22,22% dobrze, raczej dobrze – 60,2%,  źle – 0,46%, bardzo źle – 0,46%. Nikt z ankietowanych nie udzielił dodatkowej odpowiedzi tekstowej.</w:t>
      </w:r>
    </w:p>
    <w:p>
      <w:pPr>
        <w:pStyle w:val="Normal"/>
        <w:spacing w:lineRule="auto" w:line="276"/>
        <w:jc w:val="center"/>
        <w:rPr>
          <w:rFonts w:ascii="Calibri" w:hAnsi="Calibri" w:cs="Calibri"/>
          <w:bCs/>
        </w:rPr>
      </w:pPr>
      <w:r>
        <w:rPr/>
        <w:drawing>
          <wp:inline distT="0" distB="0" distL="0" distR="0">
            <wp:extent cx="4772660" cy="2162810"/>
            <wp:effectExtent l="0" t="0" r="0" b="0"/>
            <wp:docPr id="61" name="Obraz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az60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Cs/>
        </w:rPr>
      </w:pPr>
      <w:bookmarkStart w:id="73" w:name="_Toc165736511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60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Możliwość ciekawego spędzenia czasu wolnego</w:t>
      </w:r>
      <w:bookmarkEnd w:id="73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rPr>
          <w:rFonts w:ascii="Calibri" w:hAnsi="Calibri" w:cs="Calibri"/>
          <w:bCs/>
        </w:rPr>
      </w:pPr>
      <w:r>
        <w:rPr>
          <w:rFonts w:cs="Calibri" w:ascii="Calibri" w:hAnsi="Calibri"/>
          <w:bCs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Poproszono respondentów o ocenę koordynacji pracy lekarzy i personelu medycznego w sprawowaniu opieki nad dzieckiem. Ankietowani następująco ocenili personel w tym aspekcie: Bardzo dobrze oceniło 82,87% a dobrze 15,28%, raczej dobrze – 0,93%, źle – 0,93. Nikt nie udzielił odpowiedzi bardzo źle.</w:t>
      </w:r>
    </w:p>
    <w:p>
      <w:pPr>
        <w:pStyle w:val="Normal"/>
        <w:spacing w:lineRule="auto" w:line="276"/>
        <w:jc w:val="center"/>
        <w:rPr>
          <w:rFonts w:ascii="Calibri" w:hAnsi="Calibri" w:cs="Calibri"/>
          <w:bCs/>
        </w:rPr>
      </w:pPr>
      <w:r>
        <w:rPr/>
        <w:drawing>
          <wp:inline distT="0" distB="0" distL="0" distR="0">
            <wp:extent cx="4629785" cy="1905000"/>
            <wp:effectExtent l="0" t="0" r="0" b="0"/>
            <wp:docPr id="62" name="Obraz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61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74" w:name="_Toc16573651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koordynacji pracy personelu oddziału</w:t>
      </w:r>
      <w:bookmarkEnd w:id="74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bCs/>
        </w:rPr>
      </w:pPr>
      <w:r>
        <w:rPr>
          <w:rFonts w:cs="Calibri" w:ascii="Calibri" w:hAnsi="Calibri"/>
          <w:b/>
          <w:bCs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Zapytano czy ankietowani polecili by oddział pediatryczny naszej placówki innym. Odpowiedzi zdecydowanie tak udzieliło 83,33% ankietowanych, 13,89% wskazało odpowiedź tak, raczej tak wskazało 1,85% respondentów. Odpowiedzi nie i zdecydowanie nie, udzieliło kolejno 0,46% i 0,46% ankietowanych, co łącznie daje 2 osoby na 216. (rys. 62)</w:t>
      </w:r>
    </w:p>
    <w:p>
      <w:pPr>
        <w:pStyle w:val="Normal"/>
        <w:spacing w:lineRule="auto" w:line="276"/>
        <w:jc w:val="center"/>
        <w:rPr>
          <w:rFonts w:ascii="Calibri" w:hAnsi="Calibri" w:cs="Calibri"/>
          <w:lang w:val="x-none" w:eastAsia="x-none"/>
        </w:rPr>
      </w:pPr>
      <w:r>
        <w:rPr/>
        <w:drawing>
          <wp:inline distT="0" distB="0" distL="0" distR="0">
            <wp:extent cx="4686935" cy="2115185"/>
            <wp:effectExtent l="0" t="0" r="0" b="0"/>
            <wp:docPr id="63" name="Obraz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Obraz62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75" w:name="_Toc16573651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Czy polecił by Pan/Pani nasz oddział.</w:t>
      </w:r>
      <w:bookmarkEnd w:id="75"/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Osoby,  które poleciłyby nasz oddział zapytano dlaczego przede wszystkim polecili by nasz oddział? Uzyskano następujące dane w następujących aspektach:</w:t>
      </w:r>
    </w:p>
    <w:tbl>
      <w:tblPr>
        <w:tblW w:w="9072" w:type="dxa"/>
        <w:jc w:val="left"/>
        <w:tblInd w:w="70" w:type="dxa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9072"/>
      </w:tblGrid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nowoczesny sprzęt – 3,24%,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życzliwy personel – 26,85%,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korzystny efekt leczenia – 26,85%,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fachowość lekarzy – 31,02%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 xml:space="preserve">dobre warunki pobytu – 9,72%, 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czystość i porządek – 0,93%,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miła atmosfera – 1,39%,</w:t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numPr>
                <w:ilvl w:val="0"/>
                <w:numId w:val="11"/>
              </w:numPr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  <w:t>krótki czas oczekiwania przyjęcie do szpitala – 0.</w:t>
            </w:r>
          </w:p>
          <w:p>
            <w:pPr>
              <w:pStyle w:val="Normal"/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</w:r>
          </w:p>
          <w:p>
            <w:pPr>
              <w:pStyle w:val="Normal"/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</w:r>
          </w:p>
          <w:p>
            <w:pPr>
              <w:pStyle w:val="Normal"/>
              <w:suppressAutoHyphens w:val="false"/>
              <w:spacing w:lineRule="auto" w:line="276"/>
              <w:jc w:val="center"/>
              <w:rPr>
                <w:rFonts w:ascii="Calibri" w:hAnsi="Calibri" w:cs="Calibri"/>
                <w:lang w:eastAsia="pl-PL"/>
              </w:rPr>
            </w:pPr>
            <w:r>
              <w:rPr/>
              <w:drawing>
                <wp:inline distT="0" distB="0" distL="0" distR="0">
                  <wp:extent cx="5572125" cy="2314575"/>
                  <wp:effectExtent l="0" t="0" r="0" b="0"/>
                  <wp:docPr id="64" name="Obraz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Obraz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uppressAutoHyphens w:val="false"/>
              <w:spacing w:lineRule="auto" w:line="276"/>
              <w:ind w:left="720" w:hanging="0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</w:r>
          </w:p>
        </w:tc>
      </w:tr>
      <w:tr>
        <w:trPr>
          <w:trHeight w:val="264" w:hRule="atLeast"/>
        </w:trPr>
        <w:tc>
          <w:tcPr>
            <w:tcW w:w="9072" w:type="dxa"/>
            <w:tcBorders/>
            <w:shd w:color="auto" w:fill="auto" w:val="clear"/>
            <w:vAlign w:val="bottom"/>
          </w:tcPr>
          <w:p>
            <w:pPr>
              <w:pStyle w:val="Normal"/>
              <w:keepNext w:val="true"/>
              <w:suppressAutoHyphens w:val="false"/>
              <w:spacing w:lineRule="auto" w:line="276"/>
              <w:rPr>
                <w:rFonts w:ascii="Calibri" w:hAnsi="Calibri" w:cs="Calibri"/>
                <w:lang w:eastAsia="pl-PL"/>
              </w:rPr>
            </w:pPr>
            <w:r>
              <w:rPr>
                <w:rFonts w:cs="Calibri" w:ascii="Calibri" w:hAnsi="Calibri"/>
                <w:lang w:eastAsia="pl-PL"/>
              </w:rPr>
            </w:r>
          </w:p>
        </w:tc>
      </w:tr>
    </w:tbl>
    <w:p>
      <w:pPr>
        <w:pStyle w:val="Caption"/>
        <w:spacing w:lineRule="auto" w:line="276"/>
        <w:jc w:val="center"/>
        <w:rPr/>
      </w:pPr>
      <w:bookmarkStart w:id="76" w:name="_Toc165736514"/>
      <w:r>
        <w:rPr/>
        <w:t xml:space="preserve">Rysunek </w:t>
      </w:r>
      <w:r>
        <w:rPr/>
        <w:fldChar w:fldCharType="begin"/>
      </w:r>
      <w:r>
        <w:rPr/>
        <w:instrText> SEQ Rysunek \* ARABIC </w:instrText>
      </w:r>
      <w:r>
        <w:rPr/>
        <w:fldChar w:fldCharType="separate"/>
      </w:r>
      <w:r>
        <w:rPr/>
        <w:t>63</w:t>
      </w:r>
      <w:r>
        <w:rPr/>
        <w:fldChar w:fldCharType="end"/>
      </w:r>
      <w:r>
        <w:rPr/>
        <w:t xml:space="preserve"> Aspekty godne polecenia</w:t>
      </w:r>
      <w:bookmarkEnd w:id="76"/>
    </w:p>
    <w:p>
      <w:pPr>
        <w:pStyle w:val="Nagwek1"/>
        <w:spacing w:lineRule="auto" w:line="276"/>
        <w:rPr/>
      </w:pPr>
      <w:bookmarkStart w:id="77" w:name="_Toc134654667"/>
      <w:bookmarkStart w:id="78" w:name="_Toc134654696"/>
      <w:bookmarkStart w:id="79" w:name="_Toc165530288"/>
      <w:r>
        <w:rPr/>
        <w:t>PORADNIE SPECJALISTYCZNE, NOL</w:t>
      </w:r>
      <w:bookmarkEnd w:id="77"/>
      <w:bookmarkEnd w:id="78"/>
      <w:bookmarkEnd w:id="79"/>
      <w:r>
        <w:rPr/>
        <w:t xml:space="preserve">  </w:t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Analiza danych pochodzących z ankiet wskazuje, iż  73,96% pacjentów  oceniało bardzo dobrze świadczone usługi w poradniach, 21,75% dobrze, 3,40% dostatecznie, 0,59% źle oceniło usługi, bardzo źle – 0,30%.</w:t>
      </w:r>
    </w:p>
    <w:p>
      <w:pPr>
        <w:pStyle w:val="Normal"/>
        <w:spacing w:lineRule="auto" w:line="276"/>
        <w:ind w:firstLine="540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210685" cy="2000250"/>
            <wp:effectExtent l="0" t="0" r="0" b="0"/>
            <wp:docPr id="65" name="Obraz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Obraz64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80" w:name="_Toc16573651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świadczonych usług w Poradniach Specjalistycznych i w NOL</w:t>
      </w:r>
      <w:bookmarkEnd w:id="80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Zapytano respondentów o czas oczekiwania na pierwszą wizytę od momentu otrzymania skierowania do Poradni Specjalistycznej. 14,05% respondentów wskazało, iż czas oczekiwania nie przekraczał 14 dni, 32,25% wskazało że na wizytę oczekiwali do 30 dni, do 3 miesięcy oczekiwało 42,01%  ankietowanych, powyżej 3 miesięcy – 11,69%.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810760" cy="2171700"/>
            <wp:effectExtent l="0" t="0" r="0" b="0"/>
            <wp:docPr id="66" name="Obraz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Obraz65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bookmarkStart w:id="81" w:name="_Toc16573651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Czas oczekiwania na wizytę</w:t>
      </w:r>
      <w:bookmarkEnd w:id="81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Z poniżej przedstawionej ryciny wynika, że większość badanych (64,20%) uważa, że pielęgniarki są bardzo uprzejme, 26,63% -   uprzejme. 8,14% ankietowanych nie miało zdania w tej kwestii, natomiast 7 osób (1,04%), uważa że pielęgniarki są nieuprzejme. 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</w:rPr>
      </w:pPr>
      <w:r>
        <w:rPr/>
        <w:drawing>
          <wp:inline distT="0" distB="0" distL="0" distR="0">
            <wp:extent cx="4544060" cy="1943100"/>
            <wp:effectExtent l="0" t="0" r="0" b="0"/>
            <wp:docPr id="67" name="Obraz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az66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bookmarkStart w:id="82" w:name="_Toc16573651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uprzejmości  pielęgniarek</w:t>
      </w:r>
      <w:bookmarkEnd w:id="82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</w:rPr>
        <w:t xml:space="preserve">Większość (66,86 %) ankietowanych oceniło personel  lekarski jako bardzo uprzejmy, 28,55% uważało, że są   uprzejmi, za nieuprzejmych uznało personel lekarski 2,37%, a 2,22% ankietowanych nie miało w tej kwestii zdania. 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</w:rPr>
      </w:pPr>
      <w:r>
        <w:rPr/>
        <w:drawing>
          <wp:inline distT="0" distB="0" distL="0" distR="0">
            <wp:extent cx="4953635" cy="2105025"/>
            <wp:effectExtent l="0" t="0" r="0" b="0"/>
            <wp:docPr id="68" name="Obraz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Obraz67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83" w:name="_Toc16573651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uprzejmości  lekarzy</w:t>
      </w:r>
      <w:bookmarkEnd w:id="83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Takie samo pytanie zadano ankietowanym w celu oceny uprzejmości rejestratorek pracujących w  Poradniach Specjalistycznych. 65,98% ankietowanych wskazało na odpowiedź bardzo uprzejme, 30,18% - uprzejme. 2,07% ankietowanych nie miało zdania w tej kwestii, a 1,78% uznało rejestratorki za nieuprzejme. </w:t>
      </w:r>
    </w:p>
    <w:p>
      <w:pPr>
        <w:pStyle w:val="Normal"/>
        <w:spacing w:lineRule="auto" w:line="276"/>
        <w:jc w:val="both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4829810" cy="2162810"/>
            <wp:effectExtent l="0" t="0" r="0" b="0"/>
            <wp:docPr id="69" name="Obraz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Obraz68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1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84" w:name="_Toc16573651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uprzejmości  rejestratorek</w:t>
      </w:r>
      <w:bookmarkEnd w:id="84"/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Kolejny wykres przedstawia odpowiedź na pytanie dotyczące informacji uzyskiwanych od personelu poradni. Ankietowani pacjenci  w ogromnej większości (87,13%) uznali informacje uzyskiwane od personelu za wyczerpujące i zrozumiałe, 7,84% uważało je za niewyczerpujące, natomiast 5,03% nie ma w tej kwestii zdania. 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391785" cy="1972310"/>
            <wp:effectExtent l="0" t="0" r="0" b="0"/>
            <wp:docPr id="70" name="Obraz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az69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bookmarkStart w:id="85" w:name="_Toc165736520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69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uzyskiwanych informacji od personelu poradni</w:t>
      </w:r>
      <w:bookmarkEnd w:id="85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Ankietowani udzielili również odpowiedzi na pytanie dotyczące oceny personelu  lekarskiego pod kątem zainteresowania pacjentem przez personel poradni. Bardzo dobrze oceniło 70,56% ankietowanych, dobrze 23,22%, dostatecznie 5,18%, źle – 0,89%, bardzo źle – 0,15%.</w:t>
      </w:r>
    </w:p>
    <w:p>
      <w:pPr>
        <w:pStyle w:val="Normal"/>
        <w:spacing w:lineRule="auto" w:line="276"/>
        <w:jc w:val="both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991735" cy="2028825"/>
            <wp:effectExtent l="0" t="0" r="0" b="0"/>
            <wp:docPr id="71" name="Obraz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az70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bookmarkStart w:id="86" w:name="_Toc165736521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70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personelu lekarskiego pod kątem zainteresowania pacjentem</w:t>
      </w:r>
      <w:bookmarkEnd w:id="86"/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Ankietowani pacjenci w 70,56% bardzo dobrze oceniają troskliwość, zainteresowanie pacjentem przez pielęgniarki pracujące w poradniach. 26,18% oceniło je dobrze</w:t>
      </w:r>
      <w:r>
        <w:rPr>
          <w:rFonts w:cs="Calibri" w:ascii="Calibri" w:hAnsi="Calibri"/>
        </w:rPr>
        <w:t>, dostatecznie – 3,11%, źle – 0,05%. Nikt nie udzielił odpowiedzi bardzo źle.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877435" cy="1991360"/>
            <wp:effectExtent l="0" t="0" r="0" b="0"/>
            <wp:docPr id="72" name="Obraz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az71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bookmarkStart w:id="87" w:name="_Toc165736522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71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troskliwości, zainteresowania pacjentem przez pielęgniarki pracujące w poradniach</w:t>
      </w:r>
      <w:bookmarkEnd w:id="87"/>
    </w:p>
    <w:p>
      <w:pPr>
        <w:pStyle w:val="Normal"/>
        <w:spacing w:lineRule="auto" w:line="276"/>
        <w:jc w:val="both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>Rysunek 72 przedstawia dane dotyczące oceny rejestratorek pod kątem zainteresowania pacjentem 66,57% ankietowanych bardzo dobrze oceniło tę grupę zawodową, dobrze 28,99%, dostatecznie – 3,70%, źle – 0,30%, bardzo źle – 0,44%.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5391785" cy="2171700"/>
            <wp:effectExtent l="0" t="0" r="0" b="0"/>
            <wp:docPr id="73" name="Obraz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az72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bookmarkStart w:id="88" w:name="_Toc165736523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72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zainteresowania pacjentem przez rejestratorki pracujące w poradniach</w:t>
      </w:r>
      <w:bookmarkEnd w:id="88"/>
    </w:p>
    <w:p>
      <w:pPr>
        <w:pStyle w:val="Normal"/>
        <w:spacing w:lineRule="auto" w:line="276"/>
        <w:jc w:val="both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Zapytano ankietowanych czy korzystali z pomocy w ramach Nocnej i Świątecznej Opieki Zdrowotnej, 42,60%  potwierdziło korzystanie z NOL, 57,40% zaprzeczyło z korzystania z tej usługi.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</w:rPr>
      </w:pPr>
      <w:r>
        <w:rPr/>
        <w:drawing>
          <wp:inline distT="0" distB="0" distL="0" distR="0">
            <wp:extent cx="4267835" cy="2058035"/>
            <wp:effectExtent l="0" t="0" r="0" b="0"/>
            <wp:docPr id="74" name="Obraz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az73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89" w:name="_Toc165736524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73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Odpowiedz na pyt. dot. korzystania ze świadczeń w ramach NOL</w:t>
      </w:r>
      <w:bookmarkEnd w:id="89"/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</w:rPr>
      </w:pPr>
      <w:r>
        <w:rPr>
          <w:rFonts w:cs="Calibri" w:ascii="Calibri" w:hAnsi="Calibri"/>
          <w:b/>
        </w:rPr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Osoby korzystające z NOL , zapytano o czas oczekiwania na przyjęcie przez lekarza NOL od momentu rejestracji. 2,51% wskazało odpowiedź do 30 min, do 1 godziny wskazało odpowiedź 8,73% ankietowanych, 32,84% udzieliło odpowiedzi,, powyżej 1 godziny. Wydłużony czas oczekiwania na wizytę  ankietowani utożsamili z długą kolejką oczekujących oraz oczekiwaniem na lekarza.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534535" cy="2190750"/>
            <wp:effectExtent l="0" t="0" r="0" b="0"/>
            <wp:docPr id="75" name="Obraz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Obraz74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90" w:name="_Toc165736525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74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Czas oczekiwania na przyjęcie przez lekarza NOL</w:t>
      </w:r>
      <w:bookmarkEnd w:id="90"/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Pytanie dotyczące warunków lokalowych wskazało, że  bardzo dobrze warunki oceniło 63,02%, dobrze 31,21%, dostatecznie 5,18%, źle – 0,30% i bardzo źle – 0,30%.</w:t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4439285" cy="1885950"/>
            <wp:effectExtent l="0" t="0" r="0" b="0"/>
            <wp:docPr id="76" name="Obraz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Obraz75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28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91" w:name="_Toc165736526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75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warunków lokalowych</w:t>
      </w:r>
      <w:bookmarkEnd w:id="91"/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</w:rPr>
        <w:t>Rysunek 76 przedstawia odpowiedzi na pytanie dotyczące warunków sanitarno-higienicznych w poradniach, bardzo dobrze warunki oceniło 56,66%, dobrze 28,40%, dostatecznie 9,76% respondentów, źle – 5,03%, bardzo źle – 0,15%.</w:t>
      </w:r>
    </w:p>
    <w:p>
      <w:pPr>
        <w:pStyle w:val="Normal"/>
        <w:spacing w:lineRule="auto" w:line="276"/>
        <w:jc w:val="center"/>
        <w:rPr>
          <w:rFonts w:ascii="Calibri" w:hAnsi="Calibri" w:cs="Calibri"/>
        </w:rPr>
      </w:pPr>
      <w:r>
        <w:rPr/>
        <w:drawing>
          <wp:inline distT="0" distB="0" distL="0" distR="0">
            <wp:extent cx="4801235" cy="1905000"/>
            <wp:effectExtent l="0" t="0" r="0" b="0"/>
            <wp:docPr id="77" name="Obraz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Obraz76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3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</w:rPr>
      </w:pPr>
      <w:bookmarkStart w:id="92" w:name="_Toc165736527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76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Ocena warunków sanitarno-higienicznych.</w:t>
      </w:r>
      <w:bookmarkEnd w:id="92"/>
    </w:p>
    <w:p>
      <w:pPr>
        <w:pStyle w:val="Normal"/>
        <w:spacing w:lineRule="auto" w:line="276"/>
        <w:jc w:val="both"/>
        <w:rPr>
          <w:rFonts w:ascii="Calibri" w:hAnsi="Calibri" w:cs="Calibri"/>
          <w:lang w:val="x-none"/>
        </w:rPr>
      </w:pPr>
      <w:r>
        <w:rPr>
          <w:rFonts w:cs="Calibri" w:ascii="Calibri" w:hAnsi="Calibri"/>
          <w:lang w:val="x-none"/>
        </w:rPr>
      </w:r>
    </w:p>
    <w:p>
      <w:pPr>
        <w:pStyle w:val="Normal"/>
        <w:spacing w:lineRule="auto" w:line="276"/>
        <w:jc w:val="both"/>
        <w:rPr/>
      </w:pPr>
      <w:r>
        <w:rPr>
          <w:rFonts w:cs="Calibri" w:ascii="Calibri" w:hAnsi="Calibri"/>
          <w:lang w:val="x-none"/>
        </w:rPr>
        <w:t xml:space="preserve">Zapytano, czy personel poradni poinformował o przysługujących prawach pacjenta, </w:t>
      </w:r>
      <w:r>
        <w:rPr>
          <w:rFonts w:cs="Calibri" w:ascii="Calibri" w:hAnsi="Calibri"/>
        </w:rPr>
        <w:t>(</w:t>
      </w:r>
      <w:r>
        <w:rPr>
          <w:rFonts w:cs="Calibri" w:ascii="Calibri" w:hAnsi="Calibri"/>
          <w:lang w:val="x-none"/>
        </w:rPr>
        <w:t>ry</w:t>
      </w:r>
      <w:r>
        <w:rPr>
          <w:rFonts w:cs="Calibri" w:ascii="Calibri" w:hAnsi="Calibri"/>
        </w:rPr>
        <w:t>s</w:t>
      </w:r>
      <w:r>
        <w:rPr>
          <w:rFonts w:cs="Calibri" w:ascii="Calibri" w:hAnsi="Calibri"/>
          <w:lang w:val="x-none"/>
        </w:rPr>
        <w:t>.</w:t>
      </w:r>
      <w:r>
        <w:rPr>
          <w:rFonts w:cs="Calibri" w:ascii="Calibri" w:hAnsi="Calibri"/>
        </w:rPr>
        <w:t>77)</w:t>
      </w:r>
      <w:r>
        <w:rPr>
          <w:rFonts w:cs="Calibri" w:ascii="Calibri" w:hAnsi="Calibri"/>
          <w:lang w:val="x-none"/>
        </w:rPr>
        <w:t xml:space="preserve">.  </w:t>
      </w:r>
      <w:r>
        <w:rPr>
          <w:rFonts w:cs="Calibri" w:ascii="Calibri" w:hAnsi="Calibri"/>
        </w:rPr>
        <w:t>82,99</w:t>
      </w:r>
      <w:r>
        <w:rPr>
          <w:rFonts w:cs="Calibri" w:ascii="Calibri" w:hAnsi="Calibri"/>
          <w:lang w:val="x-none"/>
        </w:rPr>
        <w:t>% wskazało odpowiedź tak, nie</w:t>
      </w:r>
      <w:r>
        <w:rPr>
          <w:rFonts w:cs="Calibri" w:ascii="Calibri" w:hAnsi="Calibri"/>
        </w:rPr>
        <w:t xml:space="preserve"> – 17,01</w:t>
      </w:r>
      <w:r>
        <w:rPr>
          <w:rFonts w:cs="Calibri" w:ascii="Calibri" w:hAnsi="Calibri"/>
          <w:lang w:val="x-none"/>
        </w:rPr>
        <w:t xml:space="preserve">%. Osoby , które wskazały odpowiedz tak, zapytano,   kto udzielił im informacji </w:t>
      </w:r>
      <w:r>
        <w:rPr>
          <w:rFonts w:cs="Calibri" w:ascii="Calibri" w:hAnsi="Calibri"/>
        </w:rPr>
        <w:t>(rys. 78)</w:t>
      </w:r>
      <w:r>
        <w:rPr>
          <w:rFonts w:cs="Calibri" w:ascii="Calibri" w:hAnsi="Calibri"/>
          <w:lang w:val="x-none"/>
        </w:rPr>
        <w:t xml:space="preserve">. </w:t>
      </w:r>
      <w:r>
        <w:rPr>
          <w:rFonts w:cs="Calibri" w:ascii="Calibri" w:hAnsi="Calibri"/>
        </w:rPr>
        <w:t>39,39</w:t>
      </w:r>
      <w:r>
        <w:rPr>
          <w:rFonts w:cs="Calibri" w:ascii="Calibri" w:hAnsi="Calibri"/>
          <w:lang w:val="x-none"/>
        </w:rPr>
        <w:t xml:space="preserve">% ankietowanych wskazało lekarza, </w:t>
      </w:r>
      <w:r>
        <w:rPr>
          <w:rFonts w:cs="Calibri" w:ascii="Calibri" w:hAnsi="Calibri"/>
        </w:rPr>
        <w:t>46,89</w:t>
      </w:r>
      <w:r>
        <w:rPr>
          <w:rFonts w:cs="Calibri" w:ascii="Calibri" w:hAnsi="Calibri"/>
          <w:lang w:val="x-none"/>
        </w:rPr>
        <w:t>% wskazało pielęgnia</w:t>
      </w:r>
      <w:r>
        <w:rPr>
          <w:rFonts w:cs="Calibri" w:ascii="Calibri" w:hAnsi="Calibri"/>
        </w:rPr>
        <w:t>rkę, a 16,72</w:t>
      </w:r>
      <w:r>
        <w:rPr>
          <w:rFonts w:cs="Calibri" w:ascii="Calibri" w:hAnsi="Calibri"/>
          <w:lang w:val="x-none"/>
        </w:rPr>
        <w:t>% rejestratorkę.</w:t>
      </w:r>
    </w:p>
    <w:p>
      <w:pPr>
        <w:pStyle w:val="Standard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4496435" cy="1895475"/>
            <wp:effectExtent l="0" t="0" r="0" b="0"/>
            <wp:docPr id="78" name="Obraz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Obraz77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3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bookmarkStart w:id="93" w:name="_Toc165736528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77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Informacja o przysługujących prawach pacjenta</w:t>
      </w:r>
      <w:bookmarkEnd w:id="93"/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>
          <w:rFonts w:cs="Calibri" w:ascii="Calibri" w:hAnsi="Calibri"/>
          <w:b/>
          <w:lang w:val="x-none"/>
        </w:rPr>
      </w:r>
    </w:p>
    <w:p>
      <w:pPr>
        <w:pStyle w:val="Normal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r>
        <w:rPr/>
        <w:drawing>
          <wp:inline distT="0" distB="0" distL="0" distR="0">
            <wp:extent cx="4744085" cy="1991360"/>
            <wp:effectExtent l="0" t="0" r="0" b="0"/>
            <wp:docPr id="79" name="Obraz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Obraz78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spacing w:lineRule="auto" w:line="276"/>
        <w:jc w:val="center"/>
        <w:rPr>
          <w:rFonts w:ascii="Calibri" w:hAnsi="Calibri" w:cs="Calibri"/>
          <w:b/>
          <w:b/>
          <w:lang w:val="x-none"/>
        </w:rPr>
      </w:pPr>
      <w:bookmarkStart w:id="94" w:name="_Toc165736529"/>
      <w:r>
        <w:rPr>
          <w:rFonts w:cs="Calibri" w:ascii="Calibri" w:hAnsi="Calibri"/>
        </w:rPr>
        <w:t xml:space="preserve">Rysunek </w:t>
      </w:r>
      <w:r>
        <w:rPr>
          <w:rFonts w:cs="Calibri" w:ascii="Calibri" w:hAnsi="Calibri"/>
        </w:rPr>
        <w:fldChar w:fldCharType="begin"/>
      </w:r>
      <w:r>
        <w:rPr>
          <w:rFonts w:cs="Calibri" w:ascii="Calibri" w:hAnsi="Calibri"/>
        </w:rPr>
        <w:instrText> SEQ Rysunek \* ARABIC </w:instrText>
      </w:r>
      <w:r>
        <w:rPr>
          <w:rFonts w:cs="Calibri" w:ascii="Calibri" w:hAnsi="Calibri"/>
        </w:rPr>
        <w:fldChar w:fldCharType="separate"/>
      </w:r>
      <w:r>
        <w:rPr>
          <w:rFonts w:cs="Calibri" w:ascii="Calibri" w:hAnsi="Calibri"/>
        </w:rPr>
        <w:t>78</w:t>
      </w:r>
      <w:r>
        <w:rPr>
          <w:rFonts w:cs="Calibri" w:ascii="Calibri" w:hAnsi="Calibri"/>
        </w:rPr>
        <w:fldChar w:fldCharType="end"/>
      </w:r>
      <w:r>
        <w:rPr>
          <w:rFonts w:cs="Calibri" w:ascii="Calibri" w:hAnsi="Calibri"/>
        </w:rPr>
        <w:t xml:space="preserve"> Udzielający informacji o prawach pacjenta</w:t>
      </w:r>
      <w:bookmarkEnd w:id="94"/>
    </w:p>
    <w:p>
      <w:pPr>
        <w:pStyle w:val="Nagwek1"/>
        <w:spacing w:lineRule="auto" w:line="276"/>
        <w:rPr/>
      </w:pPr>
      <w:r>
        <w:rPr>
          <w:lang w:val="x-none"/>
        </w:rPr>
        <w:t xml:space="preserve"> </w:t>
      </w:r>
      <w:bookmarkStart w:id="95" w:name="_Toc134654668"/>
      <w:bookmarkStart w:id="96" w:name="_Toc134654697"/>
      <w:bookmarkStart w:id="97" w:name="_Toc165530289"/>
      <w:r>
        <w:rPr/>
        <w:t>WNIOSKI</w:t>
      </w:r>
      <w:bookmarkEnd w:id="95"/>
      <w:bookmarkEnd w:id="96"/>
      <w:bookmarkEnd w:id="97"/>
    </w:p>
    <w:p>
      <w:pPr>
        <w:pStyle w:val="Normal"/>
        <w:spacing w:lineRule="auto" w:line="276"/>
        <w:ind w:firstLine="540"/>
        <w:jc w:val="both"/>
        <w:rPr/>
      </w:pPr>
      <w:r>
        <w:rPr>
          <w:rFonts w:cs="Calibri" w:ascii="Calibri" w:hAnsi="Calibri"/>
        </w:rPr>
        <w:t xml:space="preserve">Badaniem ankietowym objęto pacjentów Oddziałów łóżkowych dla dorosłych, rodziców, opiekunów prawnych dzieci hospitalizowanych w Oddziale Pediatrycznym oraz pacjentów Poradni Specjalistycznych i NOL Szpitala Miejskiego w Rudzie Śląskiej Sp. z o.o. w okresie od  01.01.2023r do  31.12.2023  poprzez ogólnodostępną ankietę online. </w:t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Z zebranych ankiet przeprowadzono analizę uzyskanych danych, które pochodziły                 z oddziałów łóżkowych dla dorosłych, pediatrii i poradni specjalistycznych i NOL.</w:t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eastAsia="Calibri" w:cs="Calibri" w:ascii="Calibri" w:hAnsi="Calibri"/>
        </w:rPr>
        <w:t xml:space="preserve">  </w:t>
      </w:r>
      <w:r>
        <w:rPr>
          <w:rFonts w:cs="Calibri" w:ascii="Calibri" w:hAnsi="Calibri"/>
        </w:rPr>
        <w:t xml:space="preserve">Wszystkie zebrane  ankiety były dobrowolne, dostępne przez system Progmedica.  Łącznie wypełnionych zostało 2206 formularzy ankietowych, co daje liczbę o 550 ankiet więcej niż w roku ubiegłym. </w:t>
      </w:r>
    </w:p>
    <w:p>
      <w:pPr>
        <w:pStyle w:val="Normal"/>
        <w:spacing w:lineRule="auto" w:line="276"/>
        <w:ind w:firstLine="540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Celem przeprowadzonego badania ankietowego  badań była ocena satysfakcji pacjenta. Respondenci zostali zapoznani z celem badań oraz ich zakresem. Uzyskane wyniki poddano analizie procentowej, na podstawie której wysunięto wnioski.</w:t>
      </w:r>
    </w:p>
    <w:p>
      <w:pPr>
        <w:pStyle w:val="Normal"/>
        <w:spacing w:lineRule="auto" w:line="276"/>
        <w:jc w:val="both"/>
        <w:rPr>
          <w:rFonts w:ascii="Calibri" w:hAnsi="Calibri" w:cs="Calibri"/>
        </w:rPr>
      </w:pPr>
      <w:r>
        <w:rPr>
          <w:rFonts w:eastAsia="Calibri" w:cs="Calibri" w:ascii="Calibri" w:hAnsi="Calibri"/>
        </w:rPr>
        <w:t xml:space="preserve">  </w:t>
      </w:r>
    </w:p>
    <w:p>
      <w:pPr>
        <w:pStyle w:val="Standard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Przeprowadzone analizy pozwoliły na sformułowanie następujących wniosków:</w:t>
      </w:r>
    </w:p>
    <w:p>
      <w:pPr>
        <w:pStyle w:val="Standard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/>
      </w:pPr>
      <w:r>
        <w:rPr>
          <w:rFonts w:cs="Calibri" w:ascii="Calibri" w:hAnsi="Calibri"/>
        </w:rPr>
        <w:t xml:space="preserve">Płeć ankietowanych, którzy wzięli udział w badaniu ankietowym nie zmieniła się znacząco w stosunku  do roku 2022. W roku 2022 większość ankietowanych to  kobiety 58,10%, w roku 2023 również kobiety są grupą chętniej udzielających odpowiedzi na zadane pytania w ankiecie. Kobiety stanowią  60,20% respondentów, mężczyźni 39,80%. 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Obserwuje się wyraźny  spadek poziomu wieku  ankietowanych w przedziale do 30 lat i stanowi to obecnie 12,25%. Wiek ankietowanych  w przedziale do 40 lat wynosi 20,17%, 21,61% w wieku 41-50 lat, oraz 20,32% w przedziale wiekowym 51-60 lat. Wśród ankietowanych 15,98%  było  w wieku 61-70 oraz  9,67% w wieku lat powyżej 71 lat.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/>
      </w:pPr>
      <w:r>
        <w:rPr>
          <w:rFonts w:cs="Calibri" w:ascii="Calibri" w:hAnsi="Calibri"/>
        </w:rPr>
        <w:t>Ankietowani uznali, iż oznakowanie drogi do izby przyjęć i do oddziałów łóżkowych jest dobre, poziom ten – 97,79% nieznacznie się wzrósł od poprzedniego raportu za rok 2022. 1,52% ankietowanych uznało, że oznakowanie jest złe.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Czynności związane z przyjęciem do szpitala respondenci ocenili bardzo dobrze, 87,06% udzieliło takiej odpowiedzi, nie w pełni była zadowolona grupa 9,82% ankietowanych, źle oceniło 2,05%. Czas oczekiwania na przyjęcie na oddział łóżkowy w 57,15% przypadków wyniósł do 30 minut. Czas do 2 godzin – 27,78%, powyżej 2 godzin odpowiedź zaznaczyło 15,07%. Uprzejmość całego personelu Izby Przyjęć i Punktu Przyjęć zostały bardzo dobrze ocenione, ankietowani wskazali taką odpowiedz w  90,87% w przypadku pielęgniarek i ratowników, oraz 91,48% w przypadku lekarzy.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/>
      </w:pPr>
      <w:r>
        <w:rPr>
          <w:rFonts w:cs="Calibri" w:ascii="Calibri" w:hAnsi="Calibri"/>
        </w:rPr>
        <w:t xml:space="preserve">Respondenci na zadane pytanie dotyczące uzyskania informacji na temat praw pacjentów udzielili odpowiedzi, że 89,04% informację taką uzyskało, 10,96% odpowiedziało, że informacji takiej nie otrzymano. Pracownikami, którzy udzielali informacji na temat przysługujących praw są pielęgniarki w 58,34%, rejestratorki medyczne 6,10% oraz w 25,15% lekarze. 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93,91%  respondentów wskazało że otrzymali informacje na temat planu leczenia i koniecznych do wykonania badaniach/ zabiegach. 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/>
      </w:pPr>
      <w:r>
        <w:rPr>
          <w:rFonts w:cs="Calibri" w:ascii="Calibri" w:hAnsi="Calibri"/>
        </w:rPr>
        <w:t>Na pytanie dotyczące oceny jakości uzyskiwanych informacji od lekarzy ankietowani w 85,01% uznali informacje za wyczerpujące i zrozumiałe, niewyczerpujące i niezrozumiałe wskazało 5,10% ankietowanych, nie mam zdania i nie udzieliło odpowiedzi 9,36%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Respondenci na pytanie ,,czy zabiegi medyczne i pielęgnacyjne wykonywane są z poszanowaniem godności i intymności pacjenta” zaznaczyli w  98,40% odpowiedź twierdzącą.</w:t>
      </w:r>
    </w:p>
    <w:p>
      <w:pPr>
        <w:pStyle w:val="Standard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Dostępność do lekarzy i pielęgniarek na oddziale bardzo dobrze i dobrze oceniła największa grupa ankietowanych (67,58%), źle wskazało 1,22%.</w:t>
      </w:r>
    </w:p>
    <w:p>
      <w:pPr>
        <w:pStyle w:val="ListParagraph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Opinia respondentów w zakresie oceny posiłków pod kątem urozmaicenia posiłków, ilości pożywienia oraz temperatury posiłków wskazała że bardzo dobrze, dobrze i raczej dobrze pacjenci oceniają oferowane posiłki. Ponad 80% ankietowanych udzieliło takiej odpowiedzi. </w:t>
      </w:r>
    </w:p>
    <w:p>
      <w:pPr>
        <w:pStyle w:val="ListParagraph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Na pytanie czy wyjaśniono zasady prawidłowego odżywiania 73,97% udzieliło odpowiedzi tak, odpowiedzi nie udzieliło 15,98% respondentów. 9,51% ankietowanych wskazało odpowiedź nie w pełni.</w:t>
      </w:r>
    </w:p>
    <w:p>
      <w:pPr>
        <w:pStyle w:val="ListParagraph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Ocena warunków sprzyjających wypoczynkowi i leczeniu potwierdziła, że warunki te są spełnione w  ponad 90%. Zwraca uwagę bardzo wysoka ocena ładu i porządku w salach chorych i innych pomieszczeniach oddziału. Opinia ta jest taka sama jak w roku ubiegłym co jednoznacznie wskazuje, że warunki sanitarno-higieniczne są na wysokim poziomie. 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Większość respondentów 52,89% była bardzo zadowolona z pobytu w Szpitalu. 40,41% ankietowanych było zadowolonych z pobytu. Nie  zadowolonych było  1,07%  ankietowanych. 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</w:t>
      </w:r>
      <w:r>
        <w:rPr>
          <w:rFonts w:cs="Calibri" w:ascii="Calibri" w:hAnsi="Calibri"/>
          <w:lang w:val="x-none"/>
        </w:rPr>
        <w:t xml:space="preserve"> części ogólnej ankiety dla Oddziału Pediatrii zapytano rodziców/opiekunów                      o skierowanie do szpitala. </w:t>
      </w:r>
      <w:r>
        <w:rPr>
          <w:rFonts w:cs="Calibri" w:ascii="Calibri" w:hAnsi="Calibri"/>
        </w:rPr>
        <w:t xml:space="preserve"> 59,26</w:t>
      </w:r>
      <w:r>
        <w:rPr>
          <w:rFonts w:cs="Calibri" w:ascii="Calibri" w:hAnsi="Calibri"/>
          <w:lang w:val="x-none"/>
        </w:rPr>
        <w:t xml:space="preserve">% respondentów wskazało odpowiedz, że skierowanie otrzymali od lekarza rodzinnego, </w:t>
      </w:r>
      <w:r>
        <w:rPr>
          <w:rFonts w:cs="Calibri" w:ascii="Calibri" w:hAnsi="Calibri"/>
        </w:rPr>
        <w:t>6,02</w:t>
      </w:r>
      <w:r>
        <w:rPr>
          <w:rFonts w:cs="Calibri" w:ascii="Calibri" w:hAnsi="Calibri"/>
          <w:lang w:val="x-none"/>
        </w:rPr>
        <w:t xml:space="preserve">% skierowań wystawił lekarz specjalista, </w:t>
      </w:r>
      <w:r>
        <w:rPr>
          <w:rFonts w:cs="Calibri" w:ascii="Calibri" w:hAnsi="Calibri"/>
        </w:rPr>
        <w:t>17,13</w:t>
      </w:r>
      <w:r>
        <w:rPr>
          <w:rFonts w:cs="Calibri" w:ascii="Calibri" w:hAnsi="Calibri"/>
          <w:lang w:val="x-none"/>
        </w:rPr>
        <w:t>% to pacjenci skierowani przez lekarza pogotowia ratunkowego, 3,24%</w:t>
      </w:r>
      <w:r>
        <w:rPr>
          <w:rFonts w:cs="Calibri" w:ascii="Calibri" w:hAnsi="Calibri"/>
        </w:rPr>
        <w:t xml:space="preserve"> ankietowanych </w:t>
      </w:r>
      <w:r>
        <w:rPr>
          <w:rFonts w:cs="Calibri" w:ascii="Calibri" w:hAnsi="Calibri"/>
          <w:lang w:val="x-none"/>
        </w:rPr>
        <w:t>przeniesiono z innej placówki</w:t>
      </w:r>
      <w:r>
        <w:rPr>
          <w:rFonts w:cs="Calibri" w:ascii="Calibri" w:hAnsi="Calibri"/>
        </w:rPr>
        <w:t>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 xml:space="preserve">Zapytano  ankietowanych na temat oznakowania drogi do izby przyjęć i oddziału. </w:t>
      </w:r>
      <w:r>
        <w:rPr>
          <w:rFonts w:cs="Calibri" w:ascii="Calibri" w:hAnsi="Calibri"/>
        </w:rPr>
        <w:t>92,13</w:t>
      </w:r>
      <w:r>
        <w:rPr>
          <w:rFonts w:cs="Calibri" w:ascii="Calibri" w:hAnsi="Calibri"/>
          <w:lang w:val="x-none"/>
        </w:rPr>
        <w:t xml:space="preserve">% ankietowanych uznało istniejące oznakowanie za dobre, </w:t>
      </w:r>
      <w:r>
        <w:rPr>
          <w:rFonts w:cs="Calibri" w:ascii="Calibri" w:hAnsi="Calibri"/>
        </w:rPr>
        <w:t>5,56</w:t>
      </w:r>
      <w:r>
        <w:rPr>
          <w:rFonts w:cs="Calibri" w:ascii="Calibri" w:hAnsi="Calibri"/>
          <w:lang w:val="x-none"/>
        </w:rPr>
        <w:t xml:space="preserve">% za średnie, </w:t>
      </w:r>
      <w:r>
        <w:rPr>
          <w:rFonts w:cs="Calibri" w:ascii="Calibri" w:hAnsi="Calibri"/>
        </w:rPr>
        <w:t>nikt z ankietowanych nie udzielił odpowiedzi złe.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Zapytano respondentów o ocenę w zakresie funkcjonowania Izby Przyjęć, poproszono o ocenę</w:t>
      </w:r>
      <w:r>
        <w:rPr>
          <w:rFonts w:cs="Calibri" w:ascii="Calibri" w:hAnsi="Calibri"/>
        </w:rPr>
        <w:t>:</w:t>
      </w:r>
    </w:p>
    <w:p>
      <w:pPr>
        <w:pStyle w:val="Normal"/>
        <w:numPr>
          <w:ilvl w:val="0"/>
          <w:numId w:val="1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 xml:space="preserve">organizacji i sposobu przyjęcia na oddział -  bardzo dobrze wskazało 81,94% ankietowanych, dobrze </w:t>
      </w:r>
      <w:r>
        <w:rPr>
          <w:rFonts w:cs="Calibri" w:ascii="Calibri" w:hAnsi="Calibri"/>
        </w:rPr>
        <w:t>15,74</w:t>
      </w:r>
      <w:r>
        <w:rPr>
          <w:rFonts w:cs="Calibri" w:ascii="Calibri" w:hAnsi="Calibri"/>
          <w:lang w:val="x-none"/>
        </w:rPr>
        <w:t>% , raczej dobrze</w:t>
      </w:r>
      <w:r>
        <w:rPr>
          <w:rFonts w:cs="Calibri" w:ascii="Calibri" w:hAnsi="Calibri"/>
        </w:rPr>
        <w:t xml:space="preserve"> 1,85</w:t>
      </w:r>
      <w:r>
        <w:rPr>
          <w:rFonts w:cs="Calibri" w:ascii="Calibri" w:hAnsi="Calibri"/>
          <w:lang w:val="x-none"/>
        </w:rPr>
        <w:t>% ankietowanych, źle – 0,46%. Nikt nie wskazał odpowiedzi bardzo źle</w:t>
      </w:r>
      <w:r>
        <w:rPr>
          <w:rFonts w:cs="Calibri" w:ascii="Calibri" w:hAnsi="Calibri"/>
        </w:rPr>
        <w:t>,</w:t>
      </w:r>
    </w:p>
    <w:p>
      <w:pPr>
        <w:pStyle w:val="Normal"/>
        <w:numPr>
          <w:ilvl w:val="0"/>
          <w:numId w:val="1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u</w:t>
      </w:r>
      <w:r>
        <w:rPr>
          <w:rFonts w:cs="Calibri" w:ascii="Calibri" w:hAnsi="Calibri"/>
          <w:lang w:val="x-none"/>
        </w:rPr>
        <w:t>przejmo</w:t>
      </w:r>
      <w:r>
        <w:rPr>
          <w:rFonts w:cs="Calibri" w:ascii="Calibri" w:hAnsi="Calibri"/>
        </w:rPr>
        <w:t>ści</w:t>
      </w:r>
      <w:r>
        <w:rPr>
          <w:rFonts w:cs="Calibri" w:ascii="Calibri" w:hAnsi="Calibri"/>
          <w:lang w:val="x-none"/>
        </w:rPr>
        <w:t xml:space="preserve"> personelu – </w:t>
      </w:r>
      <w:r>
        <w:rPr>
          <w:rFonts w:cs="Calibri" w:ascii="Calibri" w:hAnsi="Calibri"/>
        </w:rPr>
        <w:t>88,43</w:t>
      </w:r>
      <w:r>
        <w:rPr>
          <w:rFonts w:cs="Calibri" w:ascii="Calibri" w:hAnsi="Calibri"/>
          <w:lang w:val="x-none"/>
        </w:rPr>
        <w:t xml:space="preserve">% wskazało odpowiedz bardzo dobrze, dobrze </w:t>
      </w:r>
      <w:r>
        <w:rPr>
          <w:rFonts w:cs="Calibri" w:ascii="Calibri" w:hAnsi="Calibri"/>
        </w:rPr>
        <w:t>8,33</w:t>
      </w:r>
      <w:r>
        <w:rPr>
          <w:rFonts w:cs="Calibri" w:ascii="Calibri" w:hAnsi="Calibri"/>
          <w:lang w:val="x-none"/>
        </w:rPr>
        <w:t xml:space="preserve">%, raczej dobrze </w:t>
      </w:r>
      <w:r>
        <w:rPr>
          <w:rFonts w:cs="Calibri" w:ascii="Calibri" w:hAnsi="Calibri"/>
        </w:rPr>
        <w:t>2,31</w:t>
      </w:r>
      <w:r>
        <w:rPr>
          <w:rFonts w:cs="Calibri" w:ascii="Calibri" w:hAnsi="Calibri"/>
          <w:lang w:val="x-none"/>
        </w:rPr>
        <w:t>%, źle – 0,93%. Nikt nie wskazał odpowiedzi bardzo źle</w:t>
      </w:r>
      <w:r>
        <w:rPr>
          <w:rFonts w:cs="Calibri" w:ascii="Calibri" w:hAnsi="Calibri"/>
        </w:rPr>
        <w:t xml:space="preserve">, </w:t>
      </w:r>
    </w:p>
    <w:p>
      <w:pPr>
        <w:pStyle w:val="Normal"/>
        <w:numPr>
          <w:ilvl w:val="0"/>
          <w:numId w:val="13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t</w:t>
      </w:r>
      <w:r>
        <w:rPr>
          <w:rFonts w:cs="Calibri" w:ascii="Calibri" w:hAnsi="Calibri"/>
          <w:lang w:val="x-none"/>
        </w:rPr>
        <w:t>rosk</w:t>
      </w:r>
      <w:r>
        <w:rPr>
          <w:rFonts w:cs="Calibri" w:ascii="Calibri" w:hAnsi="Calibri"/>
        </w:rPr>
        <w:t>i</w:t>
      </w:r>
      <w:r>
        <w:rPr>
          <w:rFonts w:cs="Calibri" w:ascii="Calibri" w:hAnsi="Calibri"/>
          <w:lang w:val="x-none"/>
        </w:rPr>
        <w:t xml:space="preserve"> i zainteresowani</w:t>
      </w:r>
      <w:r>
        <w:rPr>
          <w:rFonts w:cs="Calibri" w:ascii="Calibri" w:hAnsi="Calibri"/>
        </w:rPr>
        <w:t>a</w:t>
      </w:r>
      <w:r>
        <w:rPr>
          <w:rFonts w:cs="Calibri" w:ascii="Calibri" w:hAnsi="Calibri"/>
          <w:lang w:val="x-none"/>
        </w:rPr>
        <w:t xml:space="preserve"> dzieckiem – bardzo dobrze wskazało </w:t>
      </w:r>
      <w:r>
        <w:rPr>
          <w:rFonts w:cs="Calibri" w:ascii="Calibri" w:hAnsi="Calibri"/>
        </w:rPr>
        <w:t>87,96</w:t>
      </w:r>
      <w:r>
        <w:rPr>
          <w:rFonts w:cs="Calibri" w:ascii="Calibri" w:hAnsi="Calibri"/>
          <w:lang w:val="x-none"/>
        </w:rPr>
        <w:t xml:space="preserve">% ankietowanych, </w:t>
      </w:r>
      <w:r>
        <w:rPr>
          <w:rFonts w:cs="Calibri" w:ascii="Calibri" w:hAnsi="Calibri"/>
        </w:rPr>
        <w:t>1,85%</w:t>
      </w:r>
      <w:r>
        <w:rPr>
          <w:rFonts w:cs="Calibri" w:ascii="Calibri" w:hAnsi="Calibri"/>
          <w:lang w:val="x-none"/>
        </w:rPr>
        <w:t xml:space="preserve"> raczej dobrze, dobrze oceniło 9,72%</w:t>
      </w:r>
      <w:r>
        <w:rPr>
          <w:rFonts w:cs="Calibri" w:ascii="Calibri" w:hAnsi="Calibri"/>
        </w:rPr>
        <w:t>, źle 0,46%.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lang w:val="x-none"/>
        </w:rPr>
        <w:t>Zapytano respondentów czy podczas przyjęcia dziecka na oddział poinformowano o</w:t>
      </w:r>
      <w:r>
        <w:rPr>
          <w:rFonts w:cs="Calibri" w:ascii="Calibri" w:hAnsi="Calibri"/>
        </w:rPr>
        <w:t> </w:t>
      </w:r>
      <w:r>
        <w:rPr>
          <w:rFonts w:cs="Calibri" w:ascii="Calibri" w:hAnsi="Calibri"/>
          <w:lang w:val="x-none"/>
        </w:rPr>
        <w:t xml:space="preserve">przysługujących prawach pacjenta, </w:t>
      </w:r>
      <w:r>
        <w:rPr>
          <w:rFonts w:cs="Calibri" w:ascii="Calibri" w:hAnsi="Calibri"/>
        </w:rPr>
        <w:t>79,17</w:t>
      </w:r>
      <w:r>
        <w:rPr>
          <w:rFonts w:cs="Calibri" w:ascii="Calibri" w:hAnsi="Calibri"/>
          <w:lang w:val="x-none"/>
        </w:rPr>
        <w:t xml:space="preserve">% odpowiedziało tak, </w:t>
      </w:r>
      <w:r>
        <w:rPr>
          <w:rFonts w:cs="Calibri" w:ascii="Calibri" w:hAnsi="Calibri"/>
        </w:rPr>
        <w:t>15,74</w:t>
      </w:r>
      <w:r>
        <w:rPr>
          <w:rFonts w:cs="Calibri" w:ascii="Calibri" w:hAnsi="Calibri"/>
          <w:lang w:val="x-none"/>
        </w:rPr>
        <w:t>% wskazało odpowiedź</w:t>
      </w:r>
      <w:r>
        <w:rPr>
          <w:rFonts w:cs="Calibri" w:ascii="Calibri" w:hAnsi="Calibri"/>
        </w:rPr>
        <w:t xml:space="preserve"> </w:t>
      </w:r>
      <w:r>
        <w:rPr>
          <w:rFonts w:cs="Calibri" w:ascii="Calibri" w:hAnsi="Calibri"/>
          <w:lang w:val="x-none"/>
        </w:rPr>
        <w:t>nie potrzebowałem</w:t>
      </w:r>
      <w:r>
        <w:rPr>
          <w:rFonts w:cs="Calibri" w:ascii="Calibri" w:hAnsi="Calibri"/>
        </w:rPr>
        <w:t>. 5,09% odpowiedziało że nie zostali poinformowani.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A</w:t>
      </w:r>
      <w:r>
        <w:rPr>
          <w:rFonts w:cs="Calibri" w:ascii="Calibri" w:hAnsi="Calibri"/>
          <w:lang w:val="x-none"/>
        </w:rPr>
        <w:t>nkietowani bardzo dobrze ocenili pracę, zaangażowanie, uprzejmość, czas poświęcony dziecku przez personel. Wskaźnik procentowy wyniósł powyżej 80% dla wszystkich tych pytań.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  <w:lang w:val="x-none"/>
        </w:rPr>
        <w:t>Ankietowani udzielili odpowiedzi na temat uzyskiwanych informacji od personelu medycznego które dotyczyły</w:t>
      </w:r>
      <w:r>
        <w:rPr>
          <w:rFonts w:cs="Calibri" w:ascii="Calibri" w:hAnsi="Calibri"/>
          <w:bCs/>
        </w:rPr>
        <w:t>:</w:t>
      </w:r>
      <w:r>
        <w:rPr>
          <w:rFonts w:cs="Calibri" w:ascii="Calibri" w:hAnsi="Calibri"/>
          <w:bCs/>
          <w:lang w:val="x-none"/>
        </w:rPr>
        <w:t xml:space="preserve"> stanu zdrowia, sposobach leczenia, ryzyku związanym                      z podejmowanym leczeniem/zabiegiem. Udzielone odpowiedzi potwierdziły uzyskiwanie niezbędnych informacji</w:t>
      </w:r>
      <w:r>
        <w:rPr>
          <w:rFonts w:cs="Calibri" w:ascii="Calibri" w:hAnsi="Calibri"/>
          <w:bCs/>
        </w:rPr>
        <w:t xml:space="preserve"> powyżej 80%.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Z</w:t>
      </w:r>
      <w:r>
        <w:rPr>
          <w:rFonts w:cs="Calibri" w:ascii="Calibri" w:hAnsi="Calibri"/>
          <w:bCs/>
          <w:lang w:val="x-none"/>
        </w:rPr>
        <w:t>apytano o żywienie jakie oferowane jest małym pacjentom. Ankietowani udzielili odpowiedzi na cztery pytania: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urozmaicenie posiłków – 54,17% wskazało odpowiedź bardzo dobrze, 25,93% dobrze, raczej dobrze udzieliło odpowiedzi 14,35%,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>
          <w:rFonts w:ascii="Calibri" w:hAnsi="Calibri" w:cs="Calibri"/>
        </w:rPr>
      </w:pPr>
      <w:r>
        <w:rPr>
          <w:rFonts w:eastAsia="Calibri" w:cs="Calibri" w:ascii="Calibri" w:hAnsi="Calibri"/>
          <w:bCs/>
        </w:rPr>
        <w:t xml:space="preserve">ilość </w:t>
      </w:r>
      <w:r>
        <w:rPr>
          <w:rFonts w:cs="Calibri" w:ascii="Calibri" w:hAnsi="Calibri"/>
          <w:bCs/>
        </w:rPr>
        <w:t>pożywienia – 64,35% wskazało odpowiedź bardzo dobrze, 25,46% dobrze, raczej dobrze udzieliło odpowiedzi 7,87%. Odpowiedzi źle udzieliło 1,39% ankietowanych, a bardzo źle 0,93%,</w:t>
      </w:r>
    </w:p>
    <w:p>
      <w:pPr>
        <w:pStyle w:val="Normal"/>
        <w:numPr>
          <w:ilvl w:val="0"/>
          <w:numId w:val="14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>temperatura posiłków – 58,33% wskazało odpowiedź bardzo dobrze, 29,17% dobrze, raczej dobrze udzieliło odpowiedzi 9,72%</w:t>
      </w:r>
    </w:p>
    <w:p>
      <w:pPr>
        <w:pStyle w:val="Normal"/>
        <w:numPr>
          <w:ilvl w:val="0"/>
          <w:numId w:val="14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pomoc udzielona dziecku przy spożywaniu posiłków –  69,44% wskazało odpowiedź bardzo dobrze, 23,61% dobrze, raczej dobrze udzieliło odpowiedzi 50,09%.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  <w:lang w:val="x-none"/>
        </w:rPr>
        <w:t xml:space="preserve">Ankietowani bardzo dobrze i dobrze ocenili czystość panująca w salach chorych, wyposażenie, czystość toalet i łazienek, warunki snu i wypoczynku. Dostępność do telefonu, Internetu, możliwość ciekawego spędzenia czasu z dzieckiem również oceniono bardzo dobrze, dobrze i raczej dobrze. 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  <w:lang w:val="x-none"/>
        </w:rPr>
        <w:t xml:space="preserve">Koordynacja pracy personelu oddziału została bardzo dobrze i dobrze oceniona. Bardzo dobrze wskazało </w:t>
      </w:r>
      <w:r>
        <w:rPr>
          <w:rFonts w:cs="Calibri" w:ascii="Calibri" w:hAnsi="Calibri"/>
          <w:bCs/>
        </w:rPr>
        <w:t>82,87</w:t>
      </w:r>
      <w:r>
        <w:rPr>
          <w:rFonts w:cs="Calibri" w:ascii="Calibri" w:hAnsi="Calibri"/>
          <w:bCs/>
          <w:lang w:val="x-none"/>
        </w:rPr>
        <w:t xml:space="preserve">% ankietowanych, dobrze </w:t>
      </w:r>
      <w:r>
        <w:rPr>
          <w:rFonts w:cs="Calibri" w:ascii="Calibri" w:hAnsi="Calibri"/>
          <w:bCs/>
        </w:rPr>
        <w:t>15,28</w:t>
      </w:r>
      <w:r>
        <w:rPr>
          <w:rFonts w:cs="Calibri" w:ascii="Calibri" w:hAnsi="Calibri"/>
          <w:bCs/>
          <w:lang w:val="x-none"/>
        </w:rPr>
        <w:t>%</w:t>
      </w:r>
      <w:r>
        <w:rPr>
          <w:rFonts w:cs="Calibri" w:ascii="Calibri" w:hAnsi="Calibri"/>
          <w:bCs/>
        </w:rPr>
        <w:t>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  <w:lang w:val="x-none"/>
        </w:rPr>
        <w:t xml:space="preserve">Zapytano czy ankietowani polecili by oddział pediatryczny naszej placówki innym. Zdecydowanie tak udzieliło odpowiedzi </w:t>
      </w:r>
      <w:r>
        <w:rPr>
          <w:rFonts w:cs="Calibri" w:ascii="Calibri" w:hAnsi="Calibri"/>
          <w:bCs/>
        </w:rPr>
        <w:t>83,33</w:t>
      </w:r>
      <w:r>
        <w:rPr>
          <w:rFonts w:cs="Calibri" w:ascii="Calibri" w:hAnsi="Calibri"/>
          <w:bCs/>
          <w:lang w:val="x-none"/>
        </w:rPr>
        <w:t xml:space="preserve">% osób biorących udział w badaniu ankietowym, 13,89% wskazało odpowiedź tak, raczej tak wskazało </w:t>
      </w:r>
      <w:r>
        <w:rPr>
          <w:rFonts w:cs="Calibri" w:ascii="Calibri" w:hAnsi="Calibri"/>
          <w:bCs/>
        </w:rPr>
        <w:t>1,85</w:t>
      </w:r>
      <w:r>
        <w:rPr>
          <w:rFonts w:cs="Calibri" w:ascii="Calibri" w:hAnsi="Calibri"/>
          <w:bCs/>
          <w:lang w:val="x-none"/>
        </w:rPr>
        <w:t xml:space="preserve">% respondentów. </w:t>
      </w:r>
      <w:r>
        <w:rPr>
          <w:rFonts w:cs="Calibri" w:ascii="Calibri" w:hAnsi="Calibri"/>
          <w:bCs/>
        </w:rPr>
        <w:t xml:space="preserve">Dwie osoby udzieliły odpowiedzi negatywnych. Osoby, które poleciłyby nasz oddział zapytano dlaczego przede wszystkim polecili by nasz oddział. Uzyskano następujące odpowiedzi: </w:t>
      </w:r>
    </w:p>
    <w:p>
      <w:pPr>
        <w:pStyle w:val="Normal"/>
        <w:numPr>
          <w:ilvl w:val="0"/>
          <w:numId w:val="15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nowoczesny sprzęt – 3,24%,</w:t>
      </w:r>
    </w:p>
    <w:p>
      <w:pPr>
        <w:pStyle w:val="Normal"/>
        <w:numPr>
          <w:ilvl w:val="0"/>
          <w:numId w:val="15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końcowy  efekt leczenia – 26,85%,</w:t>
      </w:r>
    </w:p>
    <w:p>
      <w:pPr>
        <w:pStyle w:val="Normal"/>
        <w:numPr>
          <w:ilvl w:val="0"/>
          <w:numId w:val="15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życzliwy personel –  26,85%,</w:t>
      </w:r>
    </w:p>
    <w:p>
      <w:pPr>
        <w:pStyle w:val="Normal"/>
        <w:numPr>
          <w:ilvl w:val="0"/>
          <w:numId w:val="15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  <w:lang w:val="x-none"/>
        </w:rPr>
        <w:t xml:space="preserve">fachowość lekarzy – </w:t>
      </w:r>
      <w:r>
        <w:rPr>
          <w:rFonts w:cs="Calibri" w:ascii="Calibri" w:hAnsi="Calibri"/>
          <w:bCs/>
        </w:rPr>
        <w:t>31,02</w:t>
      </w:r>
      <w:r>
        <w:rPr>
          <w:rFonts w:cs="Calibri" w:ascii="Calibri" w:hAnsi="Calibri"/>
          <w:bCs/>
          <w:lang w:val="x-none"/>
        </w:rPr>
        <w:t>%</w:t>
      </w:r>
      <w:r>
        <w:rPr>
          <w:rFonts w:cs="Calibri" w:ascii="Calibri" w:hAnsi="Calibri"/>
          <w:bCs/>
        </w:rPr>
        <w:t>,</w:t>
      </w:r>
    </w:p>
    <w:p>
      <w:pPr>
        <w:pStyle w:val="Normal"/>
        <w:numPr>
          <w:ilvl w:val="0"/>
          <w:numId w:val="15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warunki pobytu – 9,72%,</w:t>
      </w:r>
    </w:p>
    <w:p>
      <w:pPr>
        <w:pStyle w:val="Normal"/>
        <w:numPr>
          <w:ilvl w:val="0"/>
          <w:numId w:val="15"/>
        </w:numPr>
        <w:spacing w:lineRule="auto" w:line="276"/>
        <w:rPr>
          <w:rFonts w:ascii="Calibri" w:hAnsi="Calibri" w:cs="Calibri"/>
        </w:rPr>
      </w:pPr>
      <w:r>
        <w:rPr>
          <w:rFonts w:cs="Calibri" w:ascii="Calibri" w:hAnsi="Calibri"/>
          <w:bCs/>
        </w:rPr>
        <w:t>miła atmosfera – 1,39%,</w:t>
      </w:r>
    </w:p>
    <w:p>
      <w:pPr>
        <w:pStyle w:val="Normal"/>
        <w:spacing w:lineRule="auto" w:line="276"/>
        <w:ind w:left="360" w:hanging="0"/>
        <w:jc w:val="both"/>
        <w:rPr>
          <w:rFonts w:ascii="Calibri" w:hAnsi="Calibri" w:cs="Calibri"/>
        </w:rPr>
      </w:pPr>
      <w:r>
        <w:rPr>
          <w:rFonts w:cs="Calibri" w:ascii="Calibri" w:hAnsi="Calibri"/>
          <w:bCs/>
        </w:rPr>
        <w:t xml:space="preserve">Znaczące zmiany w wartościach procentowych w porównaniu do roku 2022, zaszły z powodu możliwości zaznaczenia tylko jednej odpowiedzi, w przeciwieństwie do wielokrotnego wyboru w roku poprzednim.  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Ankietowani w ramach Poradni Specjalistycznych i NOL bardzo wysoko ocenili świadczone usługi , odpowiedzi bardzo dobrze udzieliło 73,96%, dobrze – 21,75%. Opinię dostateczną i źle wskazało kolejno 3,40% i 0,59%  respondentów, bardzo źle – 0,30%.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Czas oczekiwania na przyjęcie według opinii ankietowanych wyniósł 14,05% - do 14 dni, do 30 dni wskazało 32,25%, do 3 miesięcy 42,01%, powyżej 3 miesięcy – 11,69%.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Ocena uprzejmości we wszystkich grupach zawodowych (pielęgniarki, lekarze, rejestratorki)  została przez ankietowanych uznana w przewadze za bardzo dobrą i dobrą.   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Wysoko oceniono informacje uzyskiwane od personelu Poradni Specjalistycznej 87,13%. Odpowiedź niewyczerpujące wskazało 7,84% ankietowanych.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Ocena zainteresowania pacjentem ze strony personelu zatrudnionego w Poradni Specjalistycznej oceniona została dobrze i bardzo dobrze, odpowiedziało tak około 90% respondentów. 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Warunki lokalowe i ocena stanu  sanitarno-higienicznego  w opinii pacjentów wskazuje na spełnienie ich oczekiwań w tym zakresie, odpowiedzi dobrze i bardzo dobrze udzieliło ponad 80% ankietowanych.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Zapytano ankietowanych czy korzystali ze świadczeń w ramach Nocnej i Świątecznej Opieki Medycznej – 57,40% ankietowanych udzieliło odpowiedzi twierdzącej. W tej grupie czas oczekiwania na przyjęcie przez lekarza wynosił w większości (ok. 70%) powyżej 1 godziny. 59 osób czekało do godziny. Jako przyczynę wydłużonego czasu oczekiwania 78,70% ankietowanych wskazało dużą liczbę pacjentów oczekujących na przyjęcie.</w:t>
      </w:r>
    </w:p>
    <w:p>
      <w:pPr>
        <w:pStyle w:val="Normal"/>
        <w:numPr>
          <w:ilvl w:val="0"/>
          <w:numId w:val="12"/>
        </w:numPr>
        <w:spacing w:lineRule="auto" w:line="276"/>
        <w:jc w:val="both"/>
        <w:rPr>
          <w:rFonts w:ascii="Calibri" w:hAnsi="Calibri" w:cs="Calibri"/>
          <w:bCs/>
        </w:rPr>
      </w:pPr>
      <w:r>
        <w:rPr>
          <w:rFonts w:cs="Calibri" w:ascii="Calibri" w:hAnsi="Calibri"/>
          <w:bCs/>
        </w:rPr>
        <w:t xml:space="preserve">Zapytano czy poinformowano ankietowanych o przysługujących prawach, 82,99% wskazało odpowiedz tak, 17,01% udzieliło odpowiedzi nie. Osobami , które najczęściej udzielały informacji o prawach pacjenta były pielęgniarki 46,89% oraz rejestratorki 16,72%.  36,39% respondentów informacje na temat praw pacjenta uzyskało od lekarza.   </w:t>
      </w:r>
      <w:r>
        <w:br w:type="page"/>
      </w:r>
    </w:p>
    <w:p>
      <w:pPr>
        <w:pStyle w:val="Normal"/>
        <w:spacing w:lineRule="auto" w:line="276"/>
        <w:jc w:val="both"/>
        <w:rPr>
          <w:b/>
          <w:b/>
          <w:bCs/>
        </w:rPr>
      </w:pPr>
      <w:r>
        <w:rPr>
          <w:b/>
          <w:bCs/>
        </w:rPr>
        <w:t>UWAGI ANKIETOWANYCH</w:t>
      </w:r>
    </w:p>
    <w:p>
      <w:pPr>
        <w:pStyle w:val="Standard"/>
        <w:spacing w:lineRule="auto" w:line="276"/>
        <w:jc w:val="both"/>
        <w:rPr>
          <w:rFonts w:ascii="Calibri" w:hAnsi="Calibri" w:cs="Calibri"/>
          <w:u w:val="single"/>
        </w:rPr>
      </w:pPr>
      <w:r>
        <w:rPr>
          <w:rFonts w:cs="Calibri" w:ascii="Calibri" w:hAnsi="Calibri"/>
          <w:u w:val="single"/>
        </w:rPr>
      </w:r>
    </w:p>
    <w:p>
      <w:pPr>
        <w:pStyle w:val="Standard"/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 uwagach dodatkowych część ankietowanych  wyraziła własne opinie zarówno pozytywne jak sugerujące konieczność udoskonalenia i poprawy: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Bardzo często pojawiającą się opinią była potrzeba zakupu nowych łóżek/materacy do łóżek. Jak wskazywali ankietowani, stan obecnych znacząco utrudnia rekonwalescencję.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Ankietowani wskazywali jako znaczący plus duży wybór książek i gier dla dzieci na Oddziale Pediatrycznym. 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Pojawiały się głosy o braku podstawowych środków czystości i higienicznych w toaletach. 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 xml:space="preserve">Pojawiały się uwagi odnośnie długiego czasu oczekiwania na przyjęcie na oddział. 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Według opinii pacjentów część udzielanych informacji nie była zrozumiała i wystarczająca aby zaspokoić ich potrzeby, lub  musieli sami dopytywać o szczegóły.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Brak informacji na temat dostępności Internetu, zasięg ograniczony lub całkowity go brak. Brak informacji na temat hasła do sieci wifi.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>
          <w:rFonts w:ascii="Calibri" w:hAnsi="Calibri" w:cs="Calibri"/>
        </w:rPr>
      </w:pPr>
      <w:r>
        <w:rPr>
          <w:rFonts w:cs="Calibri" w:ascii="Calibri" w:hAnsi="Calibri"/>
        </w:rPr>
        <w:t>Często zwracano również uwagę na  życzliwość, troskę i skrupulatność wykonywania swoich obowiązków przez personel szpitala, zarówno na oddziałach dla osób dorosłych i dzieci, jak również w poradniach specjalistycznych i NOL’u.</w:t>
      </w:r>
    </w:p>
    <w:p>
      <w:pPr>
        <w:pStyle w:val="Standard"/>
        <w:numPr>
          <w:ilvl w:val="0"/>
          <w:numId w:val="16"/>
        </w:numPr>
        <w:spacing w:lineRule="auto" w:line="276"/>
        <w:jc w:val="both"/>
        <w:rPr/>
      </w:pPr>
      <w:r>
        <w:rPr>
          <w:rFonts w:cs="Calibri" w:ascii="Calibri" w:hAnsi="Calibri"/>
        </w:rPr>
        <w:t>Słowa uznania i podziękowania za fachową pomoc i profesjonalną opiekę ankietowani wyrazili na każdym oddziale łóżkowym, opinie te dotyczyły wszystkich grup zawodowych, opinii pozytywnych było zdecydowanie więcej niż negatywnych.</w:t>
      </w:r>
    </w:p>
    <w:p>
      <w:pPr>
        <w:pStyle w:val="Standard"/>
        <w:spacing w:lineRule="auto" w:line="276"/>
        <w:ind w:left="720" w:hanging="0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Standard"/>
        <w:spacing w:lineRule="auto" w:line="276"/>
        <w:ind w:left="720" w:hanging="0"/>
        <w:jc w:val="both"/>
        <w:rPr>
          <w:rFonts w:ascii="Calibri" w:hAnsi="Calibri" w:cs="Calibri"/>
        </w:rPr>
      </w:pPr>
      <w:r>
        <w:rPr>
          <w:rFonts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/>
      </w:pPr>
      <w:r>
        <w:rPr>
          <w:rFonts w:eastAsia="Calibri" w:cs="Calibri" w:ascii="Calibri" w:hAnsi="Calibri"/>
        </w:rPr>
        <w:t xml:space="preserve">                            </w:t>
      </w:r>
      <w:r>
        <w:rPr>
          <w:rFonts w:eastAsia="Times New Roman" w:cs="Calibri" w:ascii="Calibri" w:hAnsi="Calibri"/>
        </w:rPr>
        <w:t xml:space="preserve">Opracowanie </w:t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left="720" w:hanging="0"/>
        <w:jc w:val="right"/>
        <w:rPr>
          <w:rFonts w:ascii="Calibri" w:hAnsi="Calibri" w:eastAsia="Times New Roman" w:cs="Calibri"/>
        </w:rPr>
      </w:pPr>
      <w:r>
        <w:rPr>
          <w:rFonts w:eastAsia="Times New Roman" w:cs="Calibri" w:ascii="Calibri" w:hAnsi="Calibri"/>
        </w:rPr>
      </w:r>
    </w:p>
    <w:p>
      <w:pPr>
        <w:pStyle w:val="Standard"/>
        <w:spacing w:lineRule="auto" w:line="276"/>
        <w:ind w:hanging="0"/>
        <w:jc w:val="left"/>
        <w:rPr>
          <w:b/>
          <w:b/>
          <w:bCs/>
        </w:rPr>
      </w:pPr>
      <w:bookmarkStart w:id="98" w:name="_Toc134654669"/>
      <w:bookmarkStart w:id="99" w:name="_Toc134654698"/>
      <w:bookmarkStart w:id="100" w:name="_Toc165530290"/>
      <w:r>
        <w:rPr>
          <w:b/>
          <w:bCs/>
        </w:rPr>
        <w:t>SPIS RYSUNKÓW</w:t>
      </w:r>
      <w:bookmarkEnd w:id="98"/>
      <w:bookmarkEnd w:id="99"/>
      <w:bookmarkEnd w:id="100"/>
    </w:p>
    <w:p>
      <w:pPr>
        <w:pStyle w:val="Normal"/>
        <w:spacing w:lineRule="auto" w:line="276"/>
        <w:rPr/>
      </w:pPr>
      <w:r>
        <w:rPr/>
      </w:r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r>
        <w:fldChar w:fldCharType="begin"/>
      </w:r>
      <w:r>
        <w:rPr>
          <w:rStyle w:val="Czeindeksu"/>
          <w:rFonts w:cs="Calibri" w:ascii="Calibri" w:hAnsi="Calibri"/>
        </w:rPr>
        <w:instrText> TOC \c "Rysunek" </w:instrText>
      </w:r>
      <w:r>
        <w:rPr>
          <w:rStyle w:val="Czeindeksu"/>
          <w:rFonts w:cs="Calibri" w:ascii="Calibri" w:hAnsi="Calibri"/>
        </w:rPr>
        <w:fldChar w:fldCharType="separate"/>
      </w:r>
      <w:hyperlink w:anchor="_Toc165736452">
        <w:r>
          <w:rPr>
            <w:rStyle w:val="Czeindeksu"/>
            <w:rFonts w:cs="Calibri" w:ascii="Calibri" w:hAnsi="Calibri"/>
          </w:rPr>
          <w:t>Rysunek 1 Płeć ankietowanych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3">
        <w:r>
          <w:rPr>
            <w:rStyle w:val="Czeindeksu"/>
            <w:rFonts w:cs="Calibri" w:ascii="Calibri" w:hAnsi="Calibri"/>
          </w:rPr>
          <w:t>Rysunek 2 Wiek ankietowanych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4">
        <w:r>
          <w:rPr>
            <w:rStyle w:val="Czeindeksu"/>
            <w:rFonts w:cs="Calibri" w:ascii="Calibri" w:hAnsi="Calibri"/>
          </w:rPr>
          <w:t>Rysunek 3 Tryb przyjęcia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5">
        <w:r>
          <w:rPr>
            <w:rStyle w:val="Czeindeksu"/>
            <w:rFonts w:cs="Calibri" w:ascii="Calibri" w:hAnsi="Calibri"/>
          </w:rPr>
          <w:t>Rysunek 4 Oznakowanie drogi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6">
        <w:r>
          <w:rPr>
            <w:rStyle w:val="Czeindeksu"/>
            <w:rFonts w:cs="Calibri" w:ascii="Calibri" w:hAnsi="Calibri"/>
          </w:rPr>
          <w:t>Rysunek 5 Sprawność wykonania czynności przy przyjęciu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7">
        <w:r>
          <w:rPr>
            <w:rStyle w:val="Czeindeksu"/>
            <w:rFonts w:cs="Calibri" w:ascii="Calibri" w:hAnsi="Calibri"/>
          </w:rPr>
          <w:t>Rysunek 6 Czas oczekiwania na przyjęcie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8">
        <w:r>
          <w:rPr>
            <w:rStyle w:val="Czeindeksu"/>
            <w:rFonts w:cs="Calibri" w:ascii="Calibri" w:hAnsi="Calibri"/>
          </w:rPr>
          <w:t>Rysunek 7 Ocena uprzejmości i kompetencji personelu   medycznego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59">
        <w:r>
          <w:rPr>
            <w:rStyle w:val="Czeindeksu"/>
            <w:rFonts w:cs="Calibri" w:ascii="Calibri" w:hAnsi="Calibri"/>
          </w:rPr>
          <w:t>Rysunek 8 Ocena uprzejmości i kompetencji lekarzy Izby Przyjęć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_Toc165736459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0">
        <w:r>
          <w:rPr>
            <w:rStyle w:val="Czeindeksu"/>
            <w:rFonts w:cs="Calibri" w:ascii="Calibri" w:hAnsi="Calibri"/>
          </w:rPr>
          <w:t>Rysunek 9 Pomoc w dotarciu na oddział łóżkowy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1">
        <w:r>
          <w:rPr>
            <w:rStyle w:val="Czeindeksu"/>
            <w:rFonts w:cs="Calibri" w:ascii="Calibri" w:hAnsi="Calibri"/>
          </w:rPr>
          <w:t>Rysunek 10 Udzielanie informacji o przysługujących  prawach pacjenta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2">
        <w:r>
          <w:rPr>
            <w:rStyle w:val="Czeindeksu"/>
            <w:rFonts w:cs="Calibri" w:ascii="Calibri" w:hAnsi="Calibri"/>
          </w:rPr>
          <w:t>Rysunek 11 Kto z personelu udzielił informacji o przysługujących  prawach pacjenta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3">
        <w:r>
          <w:rPr>
            <w:rStyle w:val="Czeindeksu"/>
            <w:rFonts w:cs="Calibri" w:ascii="Calibri" w:hAnsi="Calibri"/>
          </w:rPr>
          <w:t>Rysunek 12 Informacje na temat planu leczenia i koniecznych badaniach/zabiegach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4">
        <w:r>
          <w:rPr>
            <w:rStyle w:val="Czeindeksu"/>
            <w:rFonts w:cs="Calibri" w:ascii="Calibri" w:hAnsi="Calibri"/>
          </w:rPr>
          <w:t>Rysunek 13 Informacje na temat badań diagnostycznych i zabiegów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5">
        <w:r>
          <w:rPr>
            <w:rStyle w:val="Czeindeksu"/>
            <w:rFonts w:cs="Calibri" w:ascii="Calibri" w:hAnsi="Calibri"/>
          </w:rPr>
          <w:t>Rysunek 14 Ocena informacji uzyskiwanych od lekarzy na oddziale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6">
        <w:r>
          <w:rPr>
            <w:rStyle w:val="Czeindeksu"/>
            <w:rFonts w:cs="Calibri" w:ascii="Calibri" w:hAnsi="Calibri"/>
          </w:rPr>
          <w:t>Rysunek 15 Ocena dostępności lekarza na oddziale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7">
        <w:r>
          <w:rPr>
            <w:rStyle w:val="Czeindeksu"/>
            <w:rFonts w:cs="Calibri" w:ascii="Calibri" w:hAnsi="Calibri"/>
          </w:rPr>
          <w:t>Rysunek 16 Poszanowanie godności i intymności pacjenta przez personel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8">
        <w:r>
          <w:rPr>
            <w:rStyle w:val="Czeindeksu"/>
            <w:rFonts w:cs="Calibri" w:ascii="Calibri" w:hAnsi="Calibri"/>
          </w:rPr>
          <w:t>Rysunek 17 Dostępność pielęgniarek i położnych w oddziale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69">
        <w:r>
          <w:rPr>
            <w:rStyle w:val="Czeindeksu"/>
            <w:rFonts w:cs="Calibri" w:ascii="Calibri" w:hAnsi="Calibri"/>
          </w:rPr>
          <w:t>Rysunek 18 Urozmaicenie posiłków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_Toc165736469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11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0">
        <w:r>
          <w:rPr>
            <w:rStyle w:val="Czeindeksu"/>
            <w:rFonts w:cs="Calibri" w:ascii="Calibri" w:hAnsi="Calibri"/>
          </w:rPr>
          <w:t>Rysunek 19 Ilość pożywienia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1">
        <w:r>
          <w:rPr>
            <w:rStyle w:val="Czeindeksu"/>
            <w:rFonts w:cs="Calibri" w:ascii="Calibri" w:hAnsi="Calibri"/>
          </w:rPr>
          <w:t>Rysunek 20 Temperatura posiłków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2">
        <w:r>
          <w:rPr>
            <w:rStyle w:val="Czeindeksu"/>
            <w:rFonts w:cs="Calibri" w:ascii="Calibri" w:hAnsi="Calibri"/>
          </w:rPr>
          <w:t>Rysunek 21 Zasady odżywiania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3">
        <w:r>
          <w:rPr>
            <w:rStyle w:val="Czeindeksu"/>
            <w:rFonts w:cs="Calibri" w:ascii="Calibri" w:hAnsi="Calibri"/>
          </w:rPr>
          <w:t>Rysunek 22 Czystość sal i innych pomieszczeń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4">
        <w:r>
          <w:rPr>
            <w:rStyle w:val="Czeindeksu"/>
            <w:rFonts w:cs="Calibri" w:ascii="Calibri" w:hAnsi="Calibri"/>
          </w:rPr>
          <w:t>Rysunek 23 Ocena  wyposażenia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5">
        <w:r>
          <w:rPr>
            <w:rStyle w:val="Czeindeksu"/>
            <w:rFonts w:cs="Calibri" w:ascii="Calibri" w:hAnsi="Calibri"/>
          </w:rPr>
          <w:t>Rysunek 24 Warunki snu i wypoczynku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/>
      </w:pPr>
      <w:hyperlink w:anchor="_Toc165736476">
        <w:r>
          <w:rPr>
            <w:rStyle w:val="Czeindeksu"/>
            <w:rFonts w:cs="Calibri" w:ascii="Calibri" w:hAnsi="Calibri"/>
          </w:rPr>
          <w:t>Rysunek 25 Dostęp do telefonu/ Internetu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7">
        <w:r>
          <w:rPr>
            <w:rStyle w:val="Czeindeksu"/>
            <w:rFonts w:cs="Calibri" w:ascii="Calibri" w:hAnsi="Calibri"/>
          </w:rPr>
          <w:t>Rysunek 26 Odwiedziny na oddziale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8">
        <w:r>
          <w:rPr>
            <w:rStyle w:val="Czeindeksu"/>
            <w:rFonts w:cs="Calibri" w:ascii="Calibri" w:hAnsi="Calibri"/>
          </w:rPr>
          <w:t>Rysunek 27 Dostępność opieki duszpasterskiej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79">
        <w:r>
          <w:rPr>
            <w:rStyle w:val="Czeindeksu"/>
            <w:rFonts w:cs="Calibri" w:ascii="Calibri" w:hAnsi="Calibri"/>
          </w:rPr>
          <w:t>Rysunek 28 Opinia własna na temat pobytu w szpitalu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_Toc165736479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/>
      </w:pPr>
      <w:hyperlink w:anchor="_Toc165736480">
        <w:r>
          <w:rPr>
            <w:rStyle w:val="Czeindeksu"/>
            <w:rFonts w:cs="Calibri" w:ascii="Calibri" w:hAnsi="Calibri"/>
          </w:rPr>
          <w:t>Rysunek 29 Kto wystawił skierowanie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/>
      </w:pPr>
      <w:hyperlink w:anchor="_Toc165736481">
        <w:r>
          <w:rPr>
            <w:rStyle w:val="Czeindeksu"/>
          </w:rPr>
          <w:t>Rysunek 30  Możliwość kontaktu z dzieckiem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2">
        <w:r>
          <w:rPr>
            <w:rStyle w:val="Czeindeksu"/>
            <w:rFonts w:cs="Calibri" w:ascii="Calibri" w:hAnsi="Calibri"/>
          </w:rPr>
          <w:t>Rysunek 31 Oznakowanie drogi dotarcia do Izby Przyjęć i Oddziału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3">
        <w:r>
          <w:rPr>
            <w:rStyle w:val="Czeindeksu"/>
            <w:rFonts w:cs="Calibri" w:ascii="Calibri" w:hAnsi="Calibri"/>
          </w:rPr>
          <w:t>Rysunek 32 Ocena funkcjonowania i organizacji Izby Przyjęć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4">
        <w:r>
          <w:rPr>
            <w:rStyle w:val="Czeindeksu"/>
            <w:rFonts w:cs="Calibri" w:ascii="Calibri" w:hAnsi="Calibri"/>
          </w:rPr>
          <w:t>Rysunek 33 Uprzejmość personelu Izby Przyjęć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5">
        <w:r>
          <w:rPr>
            <w:rStyle w:val="Czeindeksu"/>
            <w:rFonts w:cs="Calibri" w:ascii="Calibri" w:hAnsi="Calibri"/>
          </w:rPr>
          <w:t>Rysunek 34 Troska i zainteresowanie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19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6">
        <w:r>
          <w:rPr>
            <w:rStyle w:val="Czeindeksu"/>
            <w:rFonts w:cs="Calibri" w:ascii="Calibri" w:hAnsi="Calibri"/>
          </w:rPr>
          <w:t>Rysunek 35 Warunki w Izbie Przyjęć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7">
        <w:r>
          <w:rPr>
            <w:rStyle w:val="Czeindeksu"/>
            <w:rFonts w:cs="Calibri" w:ascii="Calibri" w:hAnsi="Calibri"/>
          </w:rPr>
          <w:t>Rysunek 36 Informacja o przysługujących prawach pacjenta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8">
        <w:r>
          <w:rPr>
            <w:rStyle w:val="Czeindeksu"/>
            <w:rFonts w:cs="Calibri" w:ascii="Calibri" w:hAnsi="Calibri"/>
          </w:rPr>
          <w:t>Rysunek 37 Informacja o zasadach pobytu na oddziale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21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89">
        <w:r>
          <w:rPr>
            <w:rStyle w:val="Czeindeksu"/>
            <w:rFonts w:cs="Calibri" w:ascii="Calibri" w:hAnsi="Calibri"/>
          </w:rPr>
          <w:t>Rysunek 38 Informacja o  terminach planowych zabiegów/ badań, czasu hospitalizacji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_Toc165736489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21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0">
        <w:r>
          <w:rPr>
            <w:rStyle w:val="Czeindeksu"/>
            <w:rFonts w:cs="Calibri" w:ascii="Calibri" w:hAnsi="Calibri"/>
          </w:rPr>
          <w:t>Rysunek 39 Informacja o  sposobie przygotowania dziecka do zabiegu/ badań (dieta/ toaleta)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1">
        <w:r>
          <w:rPr>
            <w:rStyle w:val="Czeindeksu"/>
            <w:rFonts w:cs="Calibri" w:ascii="Calibri" w:hAnsi="Calibri"/>
          </w:rPr>
          <w:t>Rysunek 40 Ilość czasu poświęconego dziecku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2">
        <w:r>
          <w:rPr>
            <w:rStyle w:val="Czeindeksu"/>
            <w:rFonts w:cs="Calibri" w:ascii="Calibri" w:hAnsi="Calibri"/>
          </w:rPr>
          <w:t>Rysunek 41 Życzliwość lekarza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3">
        <w:r>
          <w:rPr>
            <w:rStyle w:val="Czeindeksu"/>
            <w:rFonts w:cs="Calibri" w:ascii="Calibri" w:hAnsi="Calibri"/>
          </w:rPr>
          <w:t>Rysunek 42 Dostępność lekarza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4">
        <w:r>
          <w:rPr>
            <w:rStyle w:val="Czeindeksu"/>
            <w:rFonts w:cs="Calibri" w:ascii="Calibri" w:hAnsi="Calibri"/>
          </w:rPr>
          <w:t>Rysunek 43 Sposób wyrażania się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5">
        <w:r>
          <w:rPr>
            <w:rStyle w:val="Czeindeksu"/>
            <w:rFonts w:cs="Calibri" w:ascii="Calibri" w:hAnsi="Calibri"/>
          </w:rPr>
          <w:t>Rysunek 44 Ilość czasu poświęconego na opiekę nad dzieckiem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6">
        <w:r>
          <w:rPr>
            <w:rStyle w:val="Czeindeksu"/>
            <w:rFonts w:cs="Calibri" w:ascii="Calibri" w:hAnsi="Calibri"/>
          </w:rPr>
          <w:t>Rysunek 45 Życzliwość pielęgniarek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7">
        <w:r>
          <w:rPr>
            <w:rStyle w:val="Czeindeksu"/>
            <w:rFonts w:cs="Calibri" w:ascii="Calibri" w:hAnsi="Calibri"/>
          </w:rPr>
          <w:t>Rysunek 46 Dostępność pielęgniarek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8">
        <w:r>
          <w:rPr>
            <w:rStyle w:val="Czeindeksu"/>
            <w:rFonts w:cs="Calibri" w:ascii="Calibri" w:hAnsi="Calibri"/>
          </w:rPr>
          <w:t>Rysunek 47 Szybkość reakcji na prośby rodziców/dziecka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499">
        <w:r>
          <w:rPr>
            <w:rStyle w:val="Czeindeksu"/>
          </w:rPr>
          <w:t>Rysunek 48 Udzielanie wyczerpujących informacji o stanie zdrowia dziecka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_Toc165736499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0">
        <w:r>
          <w:rPr>
            <w:rStyle w:val="Czeindeksu"/>
          </w:rPr>
          <w:t>Rysunek 49Udzielanie informacji na temat sposobów leczenia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1">
        <w:r>
          <w:rPr>
            <w:rStyle w:val="Czeindeksu"/>
          </w:rPr>
          <w:t>Rysunek 50 Udzielanie informacji o ryzyku związanym z leczeniem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2">
        <w:r>
          <w:rPr>
            <w:rStyle w:val="Czeindeksu"/>
            <w:rFonts w:cs="Calibri" w:ascii="Calibri" w:hAnsi="Calibri"/>
          </w:rPr>
          <w:t>Rysunek 51 Urozmaicenie posiłków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3">
        <w:r>
          <w:rPr>
            <w:rStyle w:val="Czeindeksu"/>
            <w:rFonts w:cs="Calibri" w:ascii="Calibri" w:hAnsi="Calibri"/>
          </w:rPr>
          <w:t>Rysunek 52 Ilość pożywienia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4">
        <w:r>
          <w:rPr>
            <w:rStyle w:val="Czeindeksu"/>
            <w:rFonts w:cs="Calibri" w:ascii="Calibri" w:hAnsi="Calibri"/>
          </w:rPr>
          <w:t>Rysunek 53 Temperatura  posiłków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5">
        <w:r>
          <w:rPr>
            <w:rStyle w:val="Czeindeksu"/>
            <w:rFonts w:cs="Calibri" w:ascii="Calibri" w:hAnsi="Calibri"/>
          </w:rPr>
          <w:t>Rysunek 54 Pomoc dziecku przy spożywaniu posiłków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29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6">
        <w:r>
          <w:rPr>
            <w:rStyle w:val="Czeindeksu"/>
            <w:rFonts w:cs="Calibri" w:ascii="Calibri" w:hAnsi="Calibri"/>
          </w:rPr>
          <w:t>Rysunek 55 Czystość w salach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7">
        <w:r>
          <w:rPr>
            <w:rStyle w:val="Czeindeksu"/>
            <w:rFonts w:cs="Calibri" w:ascii="Calibri" w:hAnsi="Calibri"/>
          </w:rPr>
          <w:t>Rysunek 56 Wyposażenie sal chorych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8">
        <w:r>
          <w:rPr>
            <w:rStyle w:val="Czeindeksu"/>
            <w:rFonts w:cs="Calibri" w:ascii="Calibri" w:hAnsi="Calibri"/>
          </w:rPr>
          <w:t>Rysunek 57 Czystość toalet i łazienek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09">
        <w:r>
          <w:rPr>
            <w:rStyle w:val="Czeindeksu"/>
            <w:rFonts w:cs="Calibri" w:ascii="Calibri" w:hAnsi="Calibri"/>
          </w:rPr>
          <w:t>Rysunek 58 Warunki snu i wypoczynku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_Toc165736509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31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0">
        <w:r>
          <w:rPr>
            <w:rStyle w:val="Czeindeksu"/>
            <w:rFonts w:cs="Calibri" w:ascii="Calibri" w:hAnsi="Calibri"/>
          </w:rPr>
          <w:t>Rysunek 59 Dostęp do telefonu i Internetu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31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1">
        <w:r>
          <w:rPr>
            <w:rStyle w:val="Czeindeksu"/>
            <w:rFonts w:cs="Calibri" w:ascii="Calibri" w:hAnsi="Calibri"/>
          </w:rPr>
          <w:t>Rysunek 60 Możliwość ciekawego spędzenia czasu wolnego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2">
        <w:r>
          <w:rPr>
            <w:rStyle w:val="Czeindeksu"/>
            <w:rFonts w:cs="Calibri" w:ascii="Calibri" w:hAnsi="Calibri"/>
          </w:rPr>
          <w:t>Rysunek 61 Ocena koordynacji pracy personelu oddziału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32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3">
        <w:r>
          <w:rPr>
            <w:rStyle w:val="Czeindeksu"/>
            <w:rFonts w:cs="Calibri" w:ascii="Calibri" w:hAnsi="Calibri"/>
          </w:rPr>
          <w:t>Rysunek 62 Czy polecił by Pan/Pani nasz oddział.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4">
        <w:r>
          <w:rPr>
            <w:rStyle w:val="Czeindeksu"/>
          </w:rPr>
          <w:t>Rysunek 63 Aspekty godne polecenia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33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5">
        <w:r>
          <w:rPr>
            <w:rStyle w:val="Czeindeksu"/>
            <w:rFonts w:cs="Calibri" w:ascii="Calibri" w:hAnsi="Calibri"/>
          </w:rPr>
          <w:t>Rysunek 64 Ocena świadczonych usług w Poradniach Specjalistycznych i w NOL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6">
        <w:r>
          <w:rPr>
            <w:rStyle w:val="Czeindeksu"/>
            <w:rFonts w:cs="Calibri" w:ascii="Calibri" w:hAnsi="Calibri"/>
          </w:rPr>
          <w:t>Rysunek 65 Czas oczekiwania na wizytę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34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7">
        <w:r>
          <w:rPr>
            <w:rStyle w:val="Czeindeksu"/>
            <w:rFonts w:cs="Calibri" w:ascii="Calibri" w:hAnsi="Calibri"/>
          </w:rPr>
          <w:t>Rysunek 66 Ocena uprzejmości  pielęgniarek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8">
        <w:r>
          <w:rPr>
            <w:rStyle w:val="Czeindeksu"/>
            <w:rFonts w:cs="Calibri" w:ascii="Calibri" w:hAnsi="Calibri"/>
          </w:rPr>
          <w:t>Rysunek 67 Ocena uprzejmości  lekarzy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35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19">
        <w:r>
          <w:rPr>
            <w:rStyle w:val="Czeindeksu"/>
            <w:rFonts w:cs="Calibri" w:ascii="Calibri" w:hAnsi="Calibri"/>
          </w:rPr>
          <w:t>Rysunek 68 Ocena uprzejmości  rejestratorek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_Toc165736519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0">
        <w:r>
          <w:rPr>
            <w:rStyle w:val="Czeindeksu"/>
            <w:rFonts w:cs="Calibri" w:ascii="Calibri" w:hAnsi="Calibri"/>
          </w:rPr>
          <w:t>Rysunek 69 Ocena uzyskiwanych informacji od personelu poradni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_Toc165736520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36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1">
        <w:r>
          <w:rPr>
            <w:rStyle w:val="Czeindeksu"/>
            <w:rFonts w:cs="Calibri" w:ascii="Calibri" w:hAnsi="Calibri"/>
          </w:rPr>
          <w:t>Rysunek 70 Ocena personelu lekarskiego pod kątem zainteresowania pacjentem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_Toc165736521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2">
        <w:r>
          <w:rPr>
            <w:rStyle w:val="Czeindeksu"/>
            <w:rFonts w:cs="Calibri" w:ascii="Calibri" w:hAnsi="Calibri"/>
          </w:rPr>
          <w:t>Rysunek 71 Ocena troskliwości, zainteresowania pacjentem przez pielęgniarki pracujące w poradniach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_Toc165736522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37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3">
        <w:r>
          <w:rPr>
            <w:rStyle w:val="Czeindeksu"/>
            <w:rFonts w:cs="Calibri" w:ascii="Calibri" w:hAnsi="Calibri"/>
          </w:rPr>
          <w:t>Rysunek 72 Ocena zainteresowania pacjentem przez rejestratorki pracujące w poradniach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_Toc165736523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4">
        <w:r>
          <w:rPr>
            <w:rStyle w:val="Czeindeksu"/>
            <w:rFonts w:cs="Calibri" w:ascii="Calibri" w:hAnsi="Calibri"/>
          </w:rPr>
          <w:t>Rysunek 73 Odpowiedz na pyt. dot. korzystania ze świadczeń w ramach NOL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_Toc165736524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38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5">
        <w:r>
          <w:rPr>
            <w:rStyle w:val="Czeindeksu"/>
            <w:rFonts w:cs="Calibri" w:ascii="Calibri" w:hAnsi="Calibri"/>
          </w:rPr>
          <w:t>Rysunek 74 Czas oczekiwania na przyjęcie przez lekarza NOL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_Toc165736525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6">
        <w:r>
          <w:rPr>
            <w:rStyle w:val="Czeindeksu"/>
            <w:rFonts w:cs="Calibri" w:ascii="Calibri" w:hAnsi="Calibri"/>
          </w:rPr>
          <w:t>Rysunek 75 Ocena warunków lokalowych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_Toc165736526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7">
        <w:r>
          <w:rPr>
            <w:rStyle w:val="Czeindeksu"/>
            <w:rFonts w:cs="Calibri" w:ascii="Calibri" w:hAnsi="Calibri"/>
          </w:rPr>
          <w:t>Rysunek 76 Ocena warunków sanitarno-higienicznych.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_Toc165736527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39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>
          <w:rFonts w:ascii="Calibri" w:hAnsi="Calibri" w:eastAsia="" w:cs="" w:asciiTheme="minorHAnsi" w:cstheme="minorBidi" w:eastAsiaTheme="minorEastAsia" w:hAnsiTheme="minorHAnsi"/>
          <w:kern w:val="2"/>
          <w:sz w:val="22"/>
          <w:szCs w:val="22"/>
          <w:lang w:eastAsia="pl-PL"/>
          <w14:ligatures w14:val="standardContextual"/>
        </w:rPr>
      </w:pPr>
      <w:hyperlink w:anchor="_Toc165736528">
        <w:r>
          <w:rPr>
            <w:rStyle w:val="Czeindeksu"/>
            <w:rFonts w:cs="Calibri" w:ascii="Calibri" w:hAnsi="Calibri"/>
          </w:rPr>
          <w:t>Rysunek 77 Informacja o przysługujących prawach pacjenta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_Toc165736528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40</w:t>
        </w:r>
        <w:r>
          <w:rPr>
            <w:webHidden/>
          </w:rPr>
          <w:fldChar w:fldCharType="end"/>
        </w:r>
      </w:hyperlink>
    </w:p>
    <w:p>
      <w:pPr>
        <w:pStyle w:val="Tableoffigures"/>
        <w:tabs>
          <w:tab w:val="clear" w:pos="708"/>
          <w:tab w:val="right" w:pos="9038" w:leader="dot"/>
        </w:tabs>
        <w:spacing w:lineRule="auto" w:line="276"/>
        <w:rPr/>
      </w:pPr>
      <w:hyperlink w:anchor="_Toc165736529">
        <w:r>
          <w:rPr>
            <w:rStyle w:val="Czeindeksu"/>
            <w:rFonts w:cs="Calibri" w:ascii="Calibri" w:hAnsi="Calibri"/>
          </w:rPr>
          <w:t>Rysunek 78 Udzielający informacji o prawach pacjenta</w:t>
        </w:r>
        <w:r>
          <w:rPr>
            <w:webHidden/>
          </w:rPr>
          <w:fldChar w:fldCharType="begin"/>
        </w:r>
        <w:r>
          <w:rPr>
            <w:webHidden/>
          </w:rPr>
          <w:instrText>PAGEREF _Toc165736529 \h</w:instrText>
        </w:r>
        <w:r>
          <w:rPr>
            <w:webHidden/>
          </w:rPr>
          <w:fldChar w:fldCharType="separate"/>
        </w:r>
        <w:r>
          <w:rPr>
            <w:rStyle w:val="Czeindeksu"/>
            <w:vanish w:val="false"/>
          </w:rPr>
          <w:tab/>
          <w:t>40</w:t>
        </w:r>
        <w:r>
          <w:rPr>
            <w:webHidden/>
          </w:rPr>
          <w:fldChar w:fldCharType="end"/>
        </w:r>
      </w:hyperlink>
      <w:r>
        <w:rPr>
          <w:rStyle w:val="Czeindeksu"/>
          <w:vanish w:val="false"/>
        </w:rPr>
        <w:fldChar w:fldCharType="end"/>
      </w:r>
    </w:p>
    <w:sectPr>
      <w:headerReference w:type="default" r:id="rId82"/>
      <w:footerReference w:type="default" r:id="rId83"/>
      <w:type w:val="continuous"/>
      <w:pgSz w:w="11906" w:h="16838"/>
      <w:pgMar w:left="1440" w:right="1418" w:header="708" w:top="851" w:footer="709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libri Light">
    <w:charset w:val="ee"/>
    <w:family w:val="roman"/>
    <w:pitch w:val="variable"/>
  </w:font>
  <w:font w:name="Wingdings">
    <w:charset w:val="ee"/>
    <w:family w:val="roman"/>
    <w:pitch w:val="variable"/>
  </w:font>
  <w:font w:name="Calibri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Courier New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OpenSymbol">
    <w:altName w:val="Arial Unicode MS"/>
    <w:charset w:val="01"/>
    <w:family w:val="auto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45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45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drawing>
        <wp:inline distT="0" distB="0" distL="0" distR="0">
          <wp:extent cx="2114550" cy="638175"/>
          <wp:effectExtent l="0" t="0" r="0" b="0"/>
          <wp:docPr id="1" name="Obraz7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7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42" t="-2562" r="-742" b="-2562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drawing>
        <wp:inline distT="0" distB="0" distL="0" distR="0">
          <wp:extent cx="2114550" cy="638175"/>
          <wp:effectExtent l="0" t="0" r="0" b="0"/>
          <wp:docPr id="80" name="Obraz7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Obraz79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742" t="-2562" r="-742" b="-2562"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Nagwek5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876"/>
        </w:tabs>
        <w:ind w:left="876" w:hanging="360"/>
      </w:pPr>
      <w:rPr>
        <w:rFonts w:ascii="Symbol" w:hAnsi="Symbol" w:cs="Symbol" w:hint="default"/>
        <w:rFonts w:cs="OpenSymbol"/>
        <w:lang w:val="x-none"/>
      </w:rPr>
    </w:lvl>
    <w:lvl w:ilvl="1">
      <w:start w:val="1"/>
      <w:numFmt w:val="bullet"/>
      <w:lvlText w:val="◦"/>
      <w:lvlJc w:val="left"/>
      <w:pPr>
        <w:tabs>
          <w:tab w:val="num" w:pos="1236"/>
        </w:tabs>
        <w:ind w:left="1236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596"/>
        </w:tabs>
        <w:ind w:left="1596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956"/>
        </w:tabs>
        <w:ind w:left="1956" w:hanging="360"/>
      </w:pPr>
      <w:rPr>
        <w:rFonts w:ascii="Symbol" w:hAnsi="Symbol" w:cs="Symbol" w:hint="default"/>
        <w:rFonts w:cs="OpenSymbol"/>
        <w:lang w:val="x-none"/>
      </w:rPr>
    </w:lvl>
    <w:lvl w:ilvl="4">
      <w:start w:val="1"/>
      <w:numFmt w:val="bullet"/>
      <w:lvlText w:val="◦"/>
      <w:lvlJc w:val="left"/>
      <w:pPr>
        <w:tabs>
          <w:tab w:val="num" w:pos="2316"/>
        </w:tabs>
        <w:ind w:left="2316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676"/>
        </w:tabs>
        <w:ind w:left="2676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3036"/>
        </w:tabs>
        <w:ind w:left="3036" w:hanging="360"/>
      </w:pPr>
      <w:rPr>
        <w:rFonts w:ascii="Symbol" w:hAnsi="Symbol" w:cs="Symbol" w:hint="default"/>
        <w:rFonts w:cs="OpenSymbol"/>
        <w:lang w:val="x-none"/>
      </w:rPr>
    </w:lvl>
    <w:lvl w:ilvl="7">
      <w:start w:val="1"/>
      <w:numFmt w:val="bullet"/>
      <w:lvlText w:val="◦"/>
      <w:lvlJc w:val="left"/>
      <w:pPr>
        <w:tabs>
          <w:tab w:val="num" w:pos="3396"/>
        </w:tabs>
        <w:ind w:left="3396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756"/>
        </w:tabs>
        <w:ind w:left="3756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lang w:val="x-no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lang w:val="x-non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lang w:val="x-non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cs="Symbol" w:hint="default"/>
        <w:rFonts w:cs="OpenSymbol"/>
        <w:color w:val="000000"/>
        <w:lang w:val="x-none"/>
      </w:rPr>
    </w:lvl>
    <w:lvl w:ilvl="1">
      <w:start w:val="1"/>
      <w:numFmt w:val="bullet"/>
      <w:lvlText w:val="◦"/>
      <w:lvlJc w:val="left"/>
      <w:pPr>
        <w:tabs>
          <w:tab w:val="num" w:pos="1170"/>
        </w:tabs>
        <w:ind w:left="117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530"/>
        </w:tabs>
        <w:ind w:left="153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cs="Symbol" w:hint="default"/>
        <w:rFonts w:cs="OpenSymbol"/>
        <w:color w:val="000000"/>
        <w:lang w:val="x-none"/>
      </w:rPr>
    </w:lvl>
    <w:lvl w:ilvl="4">
      <w:start w:val="1"/>
      <w:numFmt w:val="bullet"/>
      <w:lvlText w:val="◦"/>
      <w:lvlJc w:val="left"/>
      <w:pPr>
        <w:tabs>
          <w:tab w:val="num" w:pos="2250"/>
        </w:tabs>
        <w:ind w:left="225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610"/>
        </w:tabs>
        <w:ind w:left="261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Symbol" w:hint="default"/>
        <w:rFonts w:cs="OpenSymbol"/>
        <w:color w:val="000000"/>
        <w:lang w:val="x-none"/>
      </w:rPr>
    </w:lvl>
    <w:lvl w:ilvl="7">
      <w:start w:val="1"/>
      <w:numFmt w:val="bullet"/>
      <w:lvlText w:val="◦"/>
      <w:lvlJc w:val="left"/>
      <w:pPr>
        <w:tabs>
          <w:tab w:val="num" w:pos="3330"/>
        </w:tabs>
        <w:ind w:left="333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90"/>
        </w:tabs>
        <w:ind w:left="3690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000000"/>
        <w:lang w:val="x-no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000000"/>
        <w:lang w:val="x-non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000000"/>
        <w:lang w:val="x-non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  <w:color w:val="00000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  <w:color w:val="00000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  <w:color w:val="00000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8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  <w:rFonts w:cs="Symbol"/>
        <w:lang w:val="x-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1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14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  <w:rFonts w:cs="Wingdings"/>
      </w:rPr>
    </w:lvl>
  </w:abstractNum>
  <w:abstractNum w:abstractNumId="1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17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w="http://schemas.openxmlformats.org/wordprocessingml/2006/main">
  <w:zoom w:percent="100"/>
  <w:displayBackgroundShape/>
  <w:embedSystemFonts/>
  <w:defaultTabStop w:val="708"/>
  <w:autoHyphenation w:val="fals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db2efa"/>
    <w:pPr>
      <w:keepNext w:val="true"/>
      <w:spacing w:before="240" w:after="60"/>
      <w:outlineLvl w:val="0"/>
    </w:pPr>
    <w:rPr>
      <w:rFonts w:ascii="Calibri Light" w:hAnsi="Calibri Light"/>
      <w:b/>
      <w:bCs/>
      <w:kern w:val="2"/>
      <w:sz w:val="32"/>
      <w:szCs w:val="32"/>
    </w:rPr>
  </w:style>
  <w:style w:type="paragraph" w:styleId="Nagwek5">
    <w:name w:val="Heading 5"/>
    <w:next w:val="Tretekstu"/>
    <w:qFormat/>
    <w:pPr>
      <w:widowControl/>
      <w:numPr>
        <w:ilvl w:val="4"/>
        <w:numId w:val="1"/>
      </w:numPr>
      <w:bidi w:val="0"/>
      <w:spacing w:before="120" w:after="60"/>
      <w:jc w:val="left"/>
      <w:outlineLvl w:val="4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4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Calibri" w:hAnsi="Calibri" w:cs="Calibri"/>
      <w:bCs/>
      <w:sz w:val="22"/>
      <w:szCs w:val="22"/>
      <w:lang w:val="x-none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rFonts w:ascii="Symbol" w:hAnsi="Symbol" w:cs="OpenSymbol"/>
      <w:lang w:val="x-none"/>
    </w:rPr>
  </w:style>
  <w:style w:type="character" w:styleId="WW8Num4z1" w:customStyle="1">
    <w:name w:val="WW8Num4z1"/>
    <w:qFormat/>
    <w:rPr>
      <w:rFonts w:ascii="OpenSymbol" w:hAnsi="OpenSymbol" w:cs="OpenSymbol"/>
    </w:rPr>
  </w:style>
  <w:style w:type="character" w:styleId="WW8Num5z0" w:customStyle="1">
    <w:name w:val="WW8Num5z0"/>
    <w:qFormat/>
    <w:rPr>
      <w:rFonts w:ascii="Symbol" w:hAnsi="Symbol" w:cs="OpenSymbol"/>
      <w:lang w:val="x-none"/>
    </w:rPr>
  </w:style>
  <w:style w:type="character" w:styleId="WW8Num5z1" w:customStyle="1">
    <w:name w:val="WW8Num5z1"/>
    <w:qFormat/>
    <w:rPr>
      <w:rFonts w:ascii="OpenSymbol" w:hAnsi="OpenSymbol" w:cs="OpenSymbol"/>
    </w:rPr>
  </w:style>
  <w:style w:type="character" w:styleId="WW8Num6z0" w:customStyle="1">
    <w:name w:val="WW8Num6z0"/>
    <w:qFormat/>
    <w:rPr>
      <w:rFonts w:ascii="Symbol" w:hAnsi="Symbol" w:cs="OpenSymbol"/>
      <w:color w:val="000000"/>
      <w:lang w:val="x-none"/>
    </w:rPr>
  </w:style>
  <w:style w:type="character" w:styleId="WW8Num6z1" w:customStyle="1">
    <w:name w:val="WW8Num6z1"/>
    <w:qFormat/>
    <w:rPr>
      <w:rFonts w:ascii="OpenSymbol" w:hAnsi="OpenSymbol" w:cs="OpenSymbol"/>
    </w:rPr>
  </w:style>
  <w:style w:type="character" w:styleId="WW8Num7z0" w:customStyle="1">
    <w:name w:val="WW8Num7z0"/>
    <w:qFormat/>
    <w:rPr>
      <w:rFonts w:ascii="Symbol" w:hAnsi="Symbol" w:cs="OpenSymbol"/>
      <w:color w:val="000000"/>
      <w:lang w:val="x-none"/>
    </w:rPr>
  </w:style>
  <w:style w:type="character" w:styleId="WW8Num7z1" w:customStyle="1">
    <w:name w:val="WW8Num7z1"/>
    <w:qFormat/>
    <w:rPr>
      <w:rFonts w:ascii="OpenSymbol" w:hAnsi="OpenSymbol" w:cs="OpenSymbol"/>
    </w:rPr>
  </w:style>
  <w:style w:type="character" w:styleId="WW8Num8z0" w:customStyle="1">
    <w:name w:val="WW8Num8z0"/>
    <w:qFormat/>
    <w:rPr>
      <w:rFonts w:ascii="Symbol" w:hAnsi="Symbol" w:cs="OpenSymbol"/>
      <w:color w:val="000000"/>
    </w:rPr>
  </w:style>
  <w:style w:type="character" w:styleId="WW8Num8z1" w:customStyle="1">
    <w:name w:val="WW8Num8z1"/>
    <w:qFormat/>
    <w:rPr>
      <w:rFonts w:ascii="OpenSymbol" w:hAnsi="OpenSymbol" w:cs="OpenSymbol"/>
    </w:rPr>
  </w:style>
  <w:style w:type="character" w:styleId="WW8Num9z0" w:customStyle="1">
    <w:name w:val="WW8Num9z0"/>
    <w:qFormat/>
    <w:rPr>
      <w:rFonts w:ascii="Symbol" w:hAnsi="Symbol" w:cs="Symbol"/>
      <w:sz w:val="22"/>
      <w:szCs w:val="22"/>
      <w:lang w:val="x-none"/>
    </w:rPr>
  </w:style>
  <w:style w:type="character" w:styleId="WW8Num10z0" w:customStyle="1">
    <w:name w:val="WW8Num10z0"/>
    <w:qFormat/>
    <w:rPr>
      <w:rFonts w:ascii="Symbol" w:hAnsi="Symbol" w:cs="OpenSymbol"/>
    </w:rPr>
  </w:style>
  <w:style w:type="character" w:styleId="WW8Num10z1" w:customStyle="1">
    <w:name w:val="WW8Num10z1"/>
    <w:qFormat/>
    <w:rPr>
      <w:rFonts w:ascii="OpenSymbol" w:hAnsi="OpenSymbol" w:cs="OpenSymbol"/>
    </w:rPr>
  </w:style>
  <w:style w:type="character" w:styleId="WW8Num11z0" w:customStyle="1">
    <w:name w:val="WW8Num11z0"/>
    <w:qFormat/>
    <w:rPr>
      <w:rFonts w:ascii="Symbol" w:hAnsi="Symbol" w:cs="OpenSymbol"/>
      <w:sz w:val="24"/>
      <w:szCs w:val="24"/>
      <w:lang w:val="x-none"/>
    </w:rPr>
  </w:style>
  <w:style w:type="character" w:styleId="WW8Num11z1" w:customStyle="1">
    <w:name w:val="WW8Num11z1"/>
    <w:qFormat/>
    <w:rPr>
      <w:rFonts w:ascii="OpenSymbol" w:hAnsi="OpenSymbol" w:cs="OpenSymbol"/>
    </w:rPr>
  </w:style>
  <w:style w:type="character" w:styleId="WW8Num12z0" w:customStyle="1">
    <w:name w:val="WW8Num12z0"/>
    <w:qFormat/>
    <w:rPr>
      <w:rFonts w:ascii="Symbol" w:hAnsi="Symbol" w:cs="OpenSymbol"/>
    </w:rPr>
  </w:style>
  <w:style w:type="character" w:styleId="WW8Num12z1" w:customStyle="1">
    <w:name w:val="WW8Num12z1"/>
    <w:qFormat/>
    <w:rPr>
      <w:rFonts w:ascii="OpenSymbol" w:hAnsi="OpenSymbol" w:cs="OpenSymbol"/>
    </w:rPr>
  </w:style>
  <w:style w:type="character" w:styleId="WW8Num13z0" w:customStyle="1">
    <w:name w:val="WW8Num13z0"/>
    <w:qFormat/>
    <w:rPr>
      <w:rFonts w:ascii="Symbol" w:hAnsi="Symbol" w:cs="OpenSymbol"/>
    </w:rPr>
  </w:style>
  <w:style w:type="character" w:styleId="WW8Num13z1" w:customStyle="1">
    <w:name w:val="WW8Num13z1"/>
    <w:qFormat/>
    <w:rPr>
      <w:rFonts w:ascii="OpenSymbol" w:hAnsi="OpenSymbol" w:cs="OpenSymbol"/>
    </w:rPr>
  </w:style>
  <w:style w:type="character" w:styleId="WW8Num14z0" w:customStyle="1">
    <w:name w:val="WW8Num14z0"/>
    <w:qFormat/>
    <w:rPr>
      <w:rFonts w:ascii="Symbol" w:hAnsi="Symbol" w:cs="OpenSymbol"/>
    </w:rPr>
  </w:style>
  <w:style w:type="character" w:styleId="WW8Num14z1" w:customStyle="1">
    <w:name w:val="WW8Num14z1"/>
    <w:qFormat/>
    <w:rPr>
      <w:rFonts w:ascii="OpenSymbol" w:hAnsi="OpenSymbol" w:cs="OpenSymbol"/>
    </w:rPr>
  </w:style>
  <w:style w:type="character" w:styleId="WW8Num15z0" w:customStyle="1">
    <w:name w:val="WW8Num15z0"/>
    <w:qFormat/>
    <w:rPr>
      <w:rFonts w:ascii="Symbol" w:hAnsi="Symbol" w:cs="OpenSymbol"/>
    </w:rPr>
  </w:style>
  <w:style w:type="character" w:styleId="WW8Num15z1" w:customStyle="1">
    <w:name w:val="WW8Num15z1"/>
    <w:qFormat/>
    <w:rPr>
      <w:rFonts w:ascii="OpenSymbol" w:hAnsi="OpenSymbol" w:cs="OpenSymbol"/>
    </w:rPr>
  </w:style>
  <w:style w:type="character" w:styleId="WW8Num9z1" w:customStyle="1">
    <w:name w:val="WW8Num9z1"/>
    <w:qFormat/>
    <w:rPr>
      <w:rFonts w:ascii="OpenSymbol" w:hAnsi="OpenSymbol" w:cs="OpenSymbol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Domylnaczcionkaakapitu2" w:customStyle="1">
    <w:name w:val="Domyślna czcionka akapitu2"/>
    <w:qFormat/>
    <w:rPr/>
  </w:style>
  <w:style w:type="character" w:styleId="WW8Num4z2" w:customStyle="1">
    <w:name w:val="WW8Num4z2"/>
    <w:qFormat/>
    <w:rPr/>
  </w:style>
  <w:style w:type="character" w:styleId="WW8Num4z3" w:customStyle="1">
    <w:name w:val="WW8Num4z3"/>
    <w:qFormat/>
    <w:rPr/>
  </w:style>
  <w:style w:type="character" w:styleId="WW8Num4z4" w:customStyle="1">
    <w:name w:val="WW8Num4z4"/>
    <w:qFormat/>
    <w:rPr/>
  </w:style>
  <w:style w:type="character" w:styleId="WW8Num4z5" w:customStyle="1">
    <w:name w:val="WW8Num4z5"/>
    <w:qFormat/>
    <w:rPr/>
  </w:style>
  <w:style w:type="character" w:styleId="WW8Num4z6" w:customStyle="1">
    <w:name w:val="WW8Num4z6"/>
    <w:qFormat/>
    <w:rPr/>
  </w:style>
  <w:style w:type="character" w:styleId="WW8Num4z7" w:customStyle="1">
    <w:name w:val="WW8Num4z7"/>
    <w:qFormat/>
    <w:rPr/>
  </w:style>
  <w:style w:type="character" w:styleId="WW8Num4z8" w:customStyle="1">
    <w:name w:val="WW8Num4z8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Domylnaczcionkaakapitu1" w:customStyle="1">
    <w:name w:val="Domyślna czcionka akapitu1"/>
    <w:qFormat/>
    <w:rPr/>
  </w:style>
  <w:style w:type="character" w:styleId="NagwekZnak" w:customStyle="1">
    <w:name w:val="Nagłówek Znak"/>
    <w:qFormat/>
    <w:rPr>
      <w:sz w:val="24"/>
      <w:szCs w:val="24"/>
    </w:rPr>
  </w:style>
  <w:style w:type="character" w:styleId="StopkaZnak" w:customStyle="1">
    <w:name w:val="Stopka Znak"/>
    <w:qFormat/>
    <w:rPr>
      <w:sz w:val="24"/>
      <w:szCs w:val="24"/>
    </w:rPr>
  </w:style>
  <w:style w:type="character" w:styleId="TekstdymkaZnak" w:customStyle="1">
    <w:name w:val="Tekst dymka Znak"/>
    <w:qFormat/>
    <w:rPr>
      <w:rFonts w:ascii="Tahoma" w:hAnsi="Tahoma" w:cs="Tahoma"/>
      <w:sz w:val="16"/>
      <w:szCs w:val="16"/>
    </w:rPr>
  </w:style>
  <w:style w:type="character" w:styleId="TekstprzypisukocowegoZnak" w:customStyle="1">
    <w:name w:val="Tekst przypisu końcowego Znak"/>
    <w:basedOn w:val="Domylnaczcionkaakapitu1"/>
    <w:qFormat/>
    <w:rPr/>
  </w:style>
  <w:style w:type="character" w:styleId="Znakiprzypiswkocowych" w:customStyle="1">
    <w:name w:val="Znaki przypisów końcowych"/>
    <w:qFormat/>
    <w:rPr>
      <w:vertAlign w:val="superscript"/>
    </w:rPr>
  </w:style>
  <w:style w:type="character" w:styleId="Znakiwypunktowania" w:customStyle="1">
    <w:name w:val="Znaki wypunktowania"/>
    <w:qFormat/>
    <w:rPr>
      <w:rFonts w:ascii="OpenSymbol" w:hAnsi="OpenSymbol" w:eastAsia="OpenSymbol" w:cs="OpenSymbol"/>
    </w:rPr>
  </w:style>
  <w:style w:type="character" w:styleId="Annotationreference">
    <w:name w:val="annotation reference"/>
    <w:uiPriority w:val="99"/>
    <w:semiHidden/>
    <w:unhideWhenUsed/>
    <w:qFormat/>
    <w:rsid w:val="00277891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semiHidden/>
    <w:qFormat/>
    <w:rsid w:val="00277891"/>
    <w:rPr>
      <w:lang w:eastAsia="zh-CN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277891"/>
    <w:rPr>
      <w:b/>
      <w:bCs/>
      <w:lang w:eastAsia="zh-CN"/>
    </w:rPr>
  </w:style>
  <w:style w:type="character" w:styleId="Nagwek1Znak" w:customStyle="1">
    <w:name w:val="Nagłówek 1 Znak"/>
    <w:link w:val="Nagwek1"/>
    <w:uiPriority w:val="9"/>
    <w:qFormat/>
    <w:rsid w:val="00db2efa"/>
    <w:rPr>
      <w:rFonts w:ascii="Calibri Light" w:hAnsi="Calibri Light" w:eastAsia="Times New Roman" w:cs="Times New Roman"/>
      <w:b/>
      <w:bCs/>
      <w:kern w:val="2"/>
      <w:sz w:val="32"/>
      <w:szCs w:val="32"/>
      <w:lang w:eastAsia="zh-CN"/>
    </w:rPr>
  </w:style>
  <w:style w:type="character" w:styleId="PodtytuZnak" w:customStyle="1">
    <w:name w:val="Podtytuł Znak"/>
    <w:link w:val="Podtytu"/>
    <w:uiPriority w:val="11"/>
    <w:qFormat/>
    <w:rsid w:val="00db2efa"/>
    <w:rPr>
      <w:rFonts w:ascii="Calibri Light" w:hAnsi="Calibri Light" w:eastAsia="Times New Roman" w:cs="Times New Roman"/>
      <w:sz w:val="24"/>
      <w:szCs w:val="24"/>
      <w:lang w:eastAsia="zh-CN"/>
    </w:rPr>
  </w:style>
  <w:style w:type="character" w:styleId="Czeinternetowe">
    <w:name w:val="Łącze internetowe"/>
    <w:uiPriority w:val="99"/>
    <w:unhideWhenUsed/>
    <w:rsid w:val="00b85092"/>
    <w:rPr>
      <w:color w:val="0563C1"/>
      <w:u w:val="single"/>
    </w:rPr>
  </w:style>
  <w:style w:type="character" w:styleId="ListLabel1">
    <w:name w:val="ListLabel 1"/>
    <w:qFormat/>
    <w:rPr>
      <w:rFonts w:cs="Wingdings"/>
    </w:rPr>
  </w:style>
  <w:style w:type="character" w:styleId="ListLabel2">
    <w:name w:val="ListLabel 2"/>
    <w:qFormat/>
    <w:rPr>
      <w:rFonts w:cs="Calibri"/>
      <w:bCs/>
      <w:sz w:val="22"/>
      <w:szCs w:val="22"/>
      <w:lang w:val="x-none"/>
    </w:rPr>
  </w:style>
  <w:style w:type="character" w:styleId="ListLabel3">
    <w:name w:val="ListLabel 3"/>
    <w:qFormat/>
    <w:rPr>
      <w:rFonts w:ascii="Calibri" w:hAnsi="Calibri" w:cs="OpenSymbol"/>
      <w:lang w:val="x-none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  <w:lang w:val="x-none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  <w:lang w:val="x-none"/>
    </w:rPr>
  </w:style>
  <w:style w:type="character" w:styleId="ListLabel10">
    <w:name w:val="ListLabel 10"/>
    <w:qFormat/>
    <w:rPr>
      <w:rFonts w:cs="OpenSymbol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ascii="Calibri" w:hAnsi="Calibri" w:cs="OpenSymbol"/>
      <w:lang w:val="x-none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  <w:lang w:val="x-none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  <w:lang w:val="x-none"/>
    </w:rPr>
  </w:style>
  <w:style w:type="character" w:styleId="ListLabel19">
    <w:name w:val="ListLabel 19"/>
    <w:qFormat/>
    <w:rPr>
      <w:rFonts w:cs="OpenSymbol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ascii="Calibri" w:hAnsi="Calibri" w:cs="OpenSymbol"/>
      <w:color w:val="000000"/>
      <w:lang w:val="x-none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  <w:color w:val="000000"/>
      <w:lang w:val="x-none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  <w:color w:val="000000"/>
      <w:lang w:val="x-none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ascii="Calibri" w:hAnsi="Calibri" w:cs="OpenSymbol"/>
      <w:color w:val="000000"/>
      <w:lang w:val="x-none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  <w:color w:val="000000"/>
      <w:lang w:val="x-none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  <w:color w:val="000000"/>
      <w:lang w:val="x-none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ascii="Calibri" w:hAnsi="Calibri" w:cs="OpenSymbol"/>
      <w:color w:val="000000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  <w:color w:val="000000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  <w:color w:val="000000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ascii="Calibri" w:hAnsi="Calibri" w:cs="Symbol"/>
      <w:sz w:val="22"/>
      <w:szCs w:val="22"/>
      <w:lang w:val="x-none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  <w:sz w:val="24"/>
      <w:szCs w:val="24"/>
      <w:lang w:val="x-none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  <w:sz w:val="24"/>
      <w:szCs w:val="24"/>
      <w:lang w:val="x-none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  <w:sz w:val="24"/>
      <w:szCs w:val="24"/>
      <w:lang w:val="x-none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ascii="Calibri" w:hAnsi="Calibri"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ascii="Calibri" w:hAnsi="Calibri"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cs="OpenSymbol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Courier New"/>
    </w:rPr>
  </w:style>
  <w:style w:type="character" w:styleId="ListLabel95">
    <w:name w:val="ListLabel 95"/>
    <w:qFormat/>
    <w:rPr>
      <w:rFonts w:cs="Courier New"/>
    </w:rPr>
  </w:style>
  <w:style w:type="character" w:styleId="ListLabel96">
    <w:name w:val="ListLabel 96"/>
    <w:qFormat/>
    <w:rPr>
      <w:rFonts w:cs="Courier New"/>
    </w:rPr>
  </w:style>
  <w:style w:type="character" w:styleId="ListLabel97">
    <w:name w:val="ListLabel 97"/>
    <w:qFormat/>
    <w:rPr>
      <w:rFonts w:cs="Courier New"/>
    </w:rPr>
  </w:style>
  <w:style w:type="character" w:styleId="ListLabel98">
    <w:name w:val="ListLabel 98"/>
    <w:qFormat/>
    <w:rPr>
      <w:rFonts w:cs="Courier New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Courier New"/>
    </w:rPr>
  </w:style>
  <w:style w:type="character" w:styleId="ListLabel105">
    <w:name w:val="ListLabel 105"/>
    <w:qFormat/>
    <w:rPr>
      <w:rFonts w:cs="Courier New"/>
    </w:rPr>
  </w:style>
  <w:style w:type="character" w:styleId="ListLabel106">
    <w:name w:val="ListLabel 106"/>
    <w:qFormat/>
    <w:rPr>
      <w:rFonts w:cs="Courier New"/>
    </w:rPr>
  </w:style>
  <w:style w:type="character" w:styleId="ListLabel107">
    <w:name w:val="ListLabel 107"/>
    <w:qFormat/>
    <w:rPr>
      <w:rFonts w:cs="Courier New"/>
    </w:rPr>
  </w:style>
  <w:style w:type="character" w:styleId="ListLabel108">
    <w:name w:val="ListLabel 108"/>
    <w:qFormat/>
    <w:rPr>
      <w:rFonts w:cs="Courier New"/>
    </w:rPr>
  </w:style>
  <w:style w:type="character" w:styleId="ListLabel109">
    <w:name w:val="ListLabel 109"/>
    <w:qFormat/>
    <w:rPr>
      <w:rFonts w:cs="Courier New"/>
    </w:rPr>
  </w:style>
  <w:style w:type="character" w:styleId="ListLabel110">
    <w:name w:val="ListLabel 110"/>
    <w:qFormat/>
    <w:rPr>
      <w:rFonts w:cs="Courier New"/>
    </w:rPr>
  </w:style>
  <w:style w:type="character" w:styleId="ListLabel111">
    <w:name w:val="ListLabel 111"/>
    <w:qFormat/>
    <w:rPr>
      <w:rFonts w:cs="Courier New"/>
    </w:rPr>
  </w:style>
  <w:style w:type="character" w:styleId="ListLabel112">
    <w:name w:val="ListLabel 112"/>
    <w:qFormat/>
    <w:rPr>
      <w:rFonts w:cs="Courier New"/>
    </w:rPr>
  </w:style>
  <w:style w:type="character" w:styleId="ListLabel113">
    <w:name w:val="ListLabel 113"/>
    <w:qFormat/>
    <w:rPr>
      <w:rFonts w:cs="Courier New"/>
    </w:rPr>
  </w:style>
  <w:style w:type="character" w:styleId="ListLabel114">
    <w:name w:val="ListLabel 114"/>
    <w:qFormat/>
    <w:rPr>
      <w:rFonts w:cs="Courier New"/>
    </w:rPr>
  </w:style>
  <w:style w:type="character" w:styleId="Czeindeksu">
    <w:name w:val="Łącze indeksu"/>
    <w:qFormat/>
    <w:rPr/>
  </w:style>
  <w:style w:type="character" w:styleId="ListLabel115">
    <w:name w:val="ListLabel 115"/>
    <w:qFormat/>
    <w:rPr>
      <w:rFonts w:ascii="Calibri" w:hAnsi="Calibri" w:cs="OpenSymbol"/>
      <w:lang w:val="x-none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cs="OpenSymbol"/>
      <w:lang w:val="x-none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  <w:lang w:val="x-none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ascii="Calibri" w:hAnsi="Calibri" w:cs="OpenSymbol"/>
      <w:lang w:val="x-none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cs="OpenSymbol"/>
      <w:lang w:val="x-none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  <w:lang w:val="x-none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ascii="Calibri" w:hAnsi="Calibri" w:cs="OpenSymbol"/>
      <w:color w:val="000000"/>
      <w:lang w:val="x-none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cs="OpenSymbol"/>
      <w:color w:val="000000"/>
      <w:lang w:val="x-none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  <w:color w:val="000000"/>
      <w:lang w:val="x-none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ascii="Calibri" w:hAnsi="Calibri" w:cs="OpenSymbol"/>
      <w:color w:val="000000"/>
      <w:lang w:val="x-none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cs="OpenSymbol"/>
      <w:color w:val="000000"/>
      <w:lang w:val="x-none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  <w:color w:val="000000"/>
      <w:lang w:val="x-none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ascii="Calibri" w:hAnsi="Calibri" w:cs="OpenSymbol"/>
      <w:color w:val="000000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cs="OpenSymbol"/>
      <w:color w:val="000000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  <w:color w:val="000000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ascii="Calibri" w:hAnsi="Calibri" w:cs="Symbol"/>
      <w:sz w:val="22"/>
      <w:szCs w:val="22"/>
      <w:lang w:val="x-none"/>
    </w:rPr>
  </w:style>
  <w:style w:type="character" w:styleId="ListLabel161">
    <w:name w:val="ListLabel 161"/>
    <w:qFormat/>
    <w:rPr>
      <w:rFonts w:ascii="Calibri" w:hAnsi="Calibri"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cs="OpenSymbol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ascii="Calibri" w:hAnsi="Calibri"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cs="OpenSymbol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ascii="Calibri" w:hAnsi="Calibri" w:cs="Symbol"/>
    </w:rPr>
  </w:style>
  <w:style w:type="character" w:styleId="ListLabel180">
    <w:name w:val="ListLabel 180"/>
    <w:qFormat/>
    <w:rPr>
      <w:rFonts w:cs="Courier New"/>
    </w:rPr>
  </w:style>
  <w:style w:type="character" w:styleId="ListLabel181">
    <w:name w:val="ListLabel 181"/>
    <w:qFormat/>
    <w:rPr>
      <w:rFonts w:cs="Wingdings"/>
    </w:rPr>
  </w:style>
  <w:style w:type="character" w:styleId="ListLabel182">
    <w:name w:val="ListLabel 182"/>
    <w:qFormat/>
    <w:rPr>
      <w:rFonts w:cs="Symbol"/>
    </w:rPr>
  </w:style>
  <w:style w:type="character" w:styleId="ListLabel183">
    <w:name w:val="ListLabel 183"/>
    <w:qFormat/>
    <w:rPr>
      <w:rFonts w:cs="Courier New"/>
    </w:rPr>
  </w:style>
  <w:style w:type="character" w:styleId="ListLabel184">
    <w:name w:val="ListLabel 184"/>
    <w:qFormat/>
    <w:rPr>
      <w:rFonts w:cs="Wingdings"/>
    </w:rPr>
  </w:style>
  <w:style w:type="character" w:styleId="ListLabel185">
    <w:name w:val="ListLabel 185"/>
    <w:qFormat/>
    <w:rPr>
      <w:rFonts w:cs="Symbol"/>
    </w:rPr>
  </w:style>
  <w:style w:type="character" w:styleId="ListLabel186">
    <w:name w:val="ListLabel 186"/>
    <w:qFormat/>
    <w:rPr>
      <w:rFonts w:cs="Courier New"/>
    </w:rPr>
  </w:style>
  <w:style w:type="character" w:styleId="ListLabel187">
    <w:name w:val="ListLabel 187"/>
    <w:qFormat/>
    <w:rPr>
      <w:rFonts w:cs="Wingdings"/>
    </w:rPr>
  </w:style>
  <w:style w:type="character" w:styleId="ListLabel188">
    <w:name w:val="ListLabel 188"/>
    <w:qFormat/>
    <w:rPr>
      <w:rFonts w:ascii="Calibri" w:hAnsi="Calibri" w:cs="Symbol"/>
    </w:rPr>
  </w:style>
  <w:style w:type="character" w:styleId="ListLabel189">
    <w:name w:val="ListLabel 189"/>
    <w:qFormat/>
    <w:rPr>
      <w:rFonts w:cs="Courier New"/>
    </w:rPr>
  </w:style>
  <w:style w:type="character" w:styleId="ListLabel190">
    <w:name w:val="ListLabel 190"/>
    <w:qFormat/>
    <w:rPr>
      <w:rFonts w:cs="Wingdings"/>
    </w:rPr>
  </w:style>
  <w:style w:type="character" w:styleId="ListLabel191">
    <w:name w:val="ListLabel 191"/>
    <w:qFormat/>
    <w:rPr>
      <w:rFonts w:cs="Symbol"/>
    </w:rPr>
  </w:style>
  <w:style w:type="character" w:styleId="ListLabel192">
    <w:name w:val="ListLabel 192"/>
    <w:qFormat/>
    <w:rPr>
      <w:rFonts w:cs="Courier New"/>
    </w:rPr>
  </w:style>
  <w:style w:type="character" w:styleId="ListLabel193">
    <w:name w:val="ListLabel 193"/>
    <w:qFormat/>
    <w:rPr>
      <w:rFonts w:cs="Wingdings"/>
    </w:rPr>
  </w:style>
  <w:style w:type="character" w:styleId="ListLabel194">
    <w:name w:val="ListLabel 194"/>
    <w:qFormat/>
    <w:rPr>
      <w:rFonts w:cs="Symbol"/>
    </w:rPr>
  </w:style>
  <w:style w:type="character" w:styleId="ListLabel195">
    <w:name w:val="ListLabel 195"/>
    <w:qFormat/>
    <w:rPr>
      <w:rFonts w:cs="Courier New"/>
    </w:rPr>
  </w:style>
  <w:style w:type="character" w:styleId="ListLabel196">
    <w:name w:val="ListLabel 196"/>
    <w:qFormat/>
    <w:rPr>
      <w:rFonts w:cs="Wingdings"/>
    </w:rPr>
  </w:style>
  <w:style w:type="character" w:styleId="ListLabel197">
    <w:name w:val="ListLabel 197"/>
    <w:qFormat/>
    <w:rPr>
      <w:rFonts w:ascii="Calibri" w:hAnsi="Calibri" w:cs="Symbol"/>
    </w:rPr>
  </w:style>
  <w:style w:type="character" w:styleId="ListLabel198">
    <w:name w:val="ListLabel 198"/>
    <w:qFormat/>
    <w:rPr>
      <w:rFonts w:cs="Courier New"/>
    </w:rPr>
  </w:style>
  <w:style w:type="character" w:styleId="ListLabel199">
    <w:name w:val="ListLabel 199"/>
    <w:qFormat/>
    <w:rPr>
      <w:rFonts w:cs="Wingdings"/>
    </w:rPr>
  </w:style>
  <w:style w:type="character" w:styleId="ListLabel200">
    <w:name w:val="ListLabel 200"/>
    <w:qFormat/>
    <w:rPr>
      <w:rFonts w:cs="Symbol"/>
    </w:rPr>
  </w:style>
  <w:style w:type="character" w:styleId="ListLabel201">
    <w:name w:val="ListLabel 201"/>
    <w:qFormat/>
    <w:rPr>
      <w:rFonts w:cs="Courier New"/>
    </w:rPr>
  </w:style>
  <w:style w:type="character" w:styleId="ListLabel202">
    <w:name w:val="ListLabel 202"/>
    <w:qFormat/>
    <w:rPr>
      <w:rFonts w:cs="Wingdings"/>
    </w:rPr>
  </w:style>
  <w:style w:type="character" w:styleId="ListLabel203">
    <w:name w:val="ListLabel 203"/>
    <w:qFormat/>
    <w:rPr>
      <w:rFonts w:cs="Symbol"/>
    </w:rPr>
  </w:style>
  <w:style w:type="character" w:styleId="ListLabel204">
    <w:name w:val="ListLabel 204"/>
    <w:qFormat/>
    <w:rPr>
      <w:rFonts w:cs="Courier New"/>
    </w:rPr>
  </w:style>
  <w:style w:type="character" w:styleId="ListLabel205">
    <w:name w:val="ListLabel 205"/>
    <w:qFormat/>
    <w:rPr>
      <w:rFonts w:cs="Wingdings"/>
    </w:rPr>
  </w:style>
  <w:style w:type="character" w:styleId="ListLabel206">
    <w:name w:val="ListLabel 206"/>
    <w:qFormat/>
    <w:rPr>
      <w:rFonts w:ascii="Calibri" w:hAnsi="Calibri" w:cs="Symbol"/>
    </w:rPr>
  </w:style>
  <w:style w:type="character" w:styleId="ListLabel207">
    <w:name w:val="ListLabel 207"/>
    <w:qFormat/>
    <w:rPr>
      <w:rFonts w:cs="Courier New"/>
    </w:rPr>
  </w:style>
  <w:style w:type="character" w:styleId="ListLabel208">
    <w:name w:val="ListLabel 208"/>
    <w:qFormat/>
    <w:rPr>
      <w:rFonts w:cs="Wingdings"/>
    </w:rPr>
  </w:style>
  <w:style w:type="character" w:styleId="ListLabel209">
    <w:name w:val="ListLabel 209"/>
    <w:qFormat/>
    <w:rPr>
      <w:rFonts w:cs="Symbol"/>
    </w:rPr>
  </w:style>
  <w:style w:type="character" w:styleId="ListLabel210">
    <w:name w:val="ListLabel 210"/>
    <w:qFormat/>
    <w:rPr>
      <w:rFonts w:cs="Courier New"/>
    </w:rPr>
  </w:style>
  <w:style w:type="character" w:styleId="ListLabel211">
    <w:name w:val="ListLabel 211"/>
    <w:qFormat/>
    <w:rPr>
      <w:rFonts w:cs="Wingdings"/>
    </w:rPr>
  </w:style>
  <w:style w:type="character" w:styleId="ListLabel212">
    <w:name w:val="ListLabel 212"/>
    <w:qFormat/>
    <w:rPr>
      <w:rFonts w:cs="Symbol"/>
    </w:rPr>
  </w:style>
  <w:style w:type="character" w:styleId="ListLabel213">
    <w:name w:val="ListLabel 213"/>
    <w:qFormat/>
    <w:rPr>
      <w:rFonts w:cs="Courier New"/>
    </w:rPr>
  </w:style>
  <w:style w:type="character" w:styleId="ListLabel214">
    <w:name w:val="ListLabel 214"/>
    <w:qFormat/>
    <w:rPr>
      <w:rFonts w:cs="Wingdings"/>
    </w:rPr>
  </w:style>
  <w:style w:type="character" w:styleId="ListLabel215">
    <w:name w:val="ListLabel 215"/>
    <w:qFormat/>
    <w:rPr>
      <w:rFonts w:ascii="Calibri" w:hAnsi="Calibri" w:cs="Symbol"/>
    </w:rPr>
  </w:style>
  <w:style w:type="character" w:styleId="ListLabel216">
    <w:name w:val="ListLabel 216"/>
    <w:qFormat/>
    <w:rPr>
      <w:rFonts w:cs="Courier New"/>
    </w:rPr>
  </w:style>
  <w:style w:type="character" w:styleId="ListLabel217">
    <w:name w:val="ListLabel 217"/>
    <w:qFormat/>
    <w:rPr>
      <w:rFonts w:cs="Wingdings"/>
    </w:rPr>
  </w:style>
  <w:style w:type="character" w:styleId="ListLabel218">
    <w:name w:val="ListLabel 218"/>
    <w:qFormat/>
    <w:rPr>
      <w:rFonts w:cs="Symbol"/>
    </w:rPr>
  </w:style>
  <w:style w:type="character" w:styleId="ListLabel219">
    <w:name w:val="ListLabel 219"/>
    <w:qFormat/>
    <w:rPr>
      <w:rFonts w:cs="Courier New"/>
    </w:rPr>
  </w:style>
  <w:style w:type="character" w:styleId="ListLabel220">
    <w:name w:val="ListLabel 220"/>
    <w:qFormat/>
    <w:rPr>
      <w:rFonts w:cs="Wingdings"/>
    </w:rPr>
  </w:style>
  <w:style w:type="character" w:styleId="ListLabel221">
    <w:name w:val="ListLabel 221"/>
    <w:qFormat/>
    <w:rPr>
      <w:rFonts w:cs="Symbol"/>
    </w:rPr>
  </w:style>
  <w:style w:type="character" w:styleId="ListLabel222">
    <w:name w:val="ListLabel 222"/>
    <w:qFormat/>
    <w:rPr>
      <w:rFonts w:cs="Courier New"/>
    </w:rPr>
  </w:style>
  <w:style w:type="character" w:styleId="ListLabel223">
    <w:name w:val="ListLabel 223"/>
    <w:qFormat/>
    <w:rPr>
      <w:rFonts w:cs="Wingdings"/>
    </w:rPr>
  </w:style>
  <w:style w:type="character" w:styleId="ListLabel224">
    <w:name w:val="ListLabel 224"/>
    <w:qFormat/>
    <w:rPr>
      <w:rFonts w:ascii="Calibri" w:hAnsi="Calibri" w:cs="Symbol"/>
    </w:rPr>
  </w:style>
  <w:style w:type="character" w:styleId="ListLabel225">
    <w:name w:val="ListLabel 225"/>
    <w:qFormat/>
    <w:rPr>
      <w:rFonts w:cs="Courier New"/>
    </w:rPr>
  </w:style>
  <w:style w:type="character" w:styleId="ListLabel226">
    <w:name w:val="ListLabel 226"/>
    <w:qFormat/>
    <w:rPr>
      <w:rFonts w:cs="Wingdings"/>
    </w:rPr>
  </w:style>
  <w:style w:type="character" w:styleId="ListLabel227">
    <w:name w:val="ListLabel 227"/>
    <w:qFormat/>
    <w:rPr>
      <w:rFonts w:cs="Symbol"/>
    </w:rPr>
  </w:style>
  <w:style w:type="character" w:styleId="ListLabel228">
    <w:name w:val="ListLabel 228"/>
    <w:qFormat/>
    <w:rPr>
      <w:rFonts w:cs="Courier New"/>
    </w:rPr>
  </w:style>
  <w:style w:type="character" w:styleId="ListLabel229">
    <w:name w:val="ListLabel 229"/>
    <w:qFormat/>
    <w:rPr>
      <w:rFonts w:cs="Wingdings"/>
    </w:rPr>
  </w:style>
  <w:style w:type="character" w:styleId="ListLabel230">
    <w:name w:val="ListLabel 230"/>
    <w:qFormat/>
    <w:rPr>
      <w:rFonts w:cs="Symbol"/>
    </w:rPr>
  </w:style>
  <w:style w:type="character" w:styleId="ListLabel231">
    <w:name w:val="ListLabel 231"/>
    <w:qFormat/>
    <w:rPr>
      <w:rFonts w:cs="Courier New"/>
    </w:rPr>
  </w:style>
  <w:style w:type="character" w:styleId="ListLabel232">
    <w:name w:val="ListLabel 232"/>
    <w:qFormat/>
    <w:rPr>
      <w:rFonts w:cs="Wingding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Lucida Sans"/>
    </w:rPr>
  </w:style>
  <w:style w:type="paragraph" w:styleId="Nagwek2" w:customStyle="1">
    <w:name w:val="Nagłówek2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Nagwek11" w:customStyle="1">
    <w:name w:val="Nagłówek1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Legenda2" w:customStyle="1">
    <w:name w:val="Legenda2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styleId="Spistreci1">
    <w:name w:val="TOC 1"/>
    <w:basedOn w:val="Normal"/>
    <w:next w:val="Normal"/>
    <w:uiPriority w:val="39"/>
    <w:pPr>
      <w:spacing w:before="240" w:after="120"/>
    </w:pPr>
    <w:rPr>
      <w:rFonts w:ascii="Calibri" w:hAnsi="Calibri" w:cs="Calibri"/>
      <w:b/>
      <w:bCs/>
      <w:sz w:val="20"/>
      <w:szCs w:val="20"/>
    </w:rPr>
  </w:style>
  <w:style w:type="paragraph" w:styleId="Legenda1" w:customStyle="1">
    <w:name w:val="Legenda1"/>
    <w:basedOn w:val="Normal"/>
    <w:next w:val="Normal"/>
    <w:qFormat/>
    <w:pPr/>
    <w:rPr>
      <w:b/>
      <w:bCs/>
      <w:sz w:val="20"/>
      <w:szCs w:val="20"/>
    </w:rPr>
  </w:style>
  <w:style w:type="paragraph" w:styleId="Standard" w:customStyle="1">
    <w:name w:val="Standard"/>
    <w:qFormat/>
    <w:pPr>
      <w:widowControl w:val="false"/>
      <w:suppressAutoHyphens w:val="true"/>
      <w:bidi w:val="0"/>
      <w:jc w:val="left"/>
    </w:pPr>
    <w:rPr>
      <w:rFonts w:ascii="Times New Roman" w:hAnsi="Times New Roman" w:eastAsia="Arial Unicode MS" w:cs="Mangal"/>
      <w:color w:val="auto"/>
      <w:kern w:val="2"/>
      <w:sz w:val="24"/>
      <w:szCs w:val="24"/>
      <w:lang w:val="pl-PL" w:eastAsia="zh-CN" w:bidi="hi-IN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Gwka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Przypiskocowy">
    <w:name w:val="Endnote Text"/>
    <w:basedOn w:val="Normal"/>
    <w:pPr/>
    <w:rPr>
      <w:sz w:val="20"/>
      <w:szCs w:val="20"/>
    </w:rPr>
  </w:style>
  <w:style w:type="paragraph" w:styleId="Zawartotabeli" w:customStyle="1">
    <w:name w:val="Zawartość tabeli"/>
    <w:basedOn w:val="Normal"/>
    <w:qFormat/>
    <w:pPr>
      <w:suppressLineNumbers/>
    </w:pPr>
    <w:rPr/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277891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277891"/>
    <w:pPr/>
    <w:rPr>
      <w:b/>
      <w:bCs/>
    </w:rPr>
  </w:style>
  <w:style w:type="paragraph" w:styleId="Podtytu">
    <w:name w:val="Subtitle"/>
    <w:basedOn w:val="Normal"/>
    <w:next w:val="Normal"/>
    <w:link w:val="PodtytuZnak"/>
    <w:uiPriority w:val="11"/>
    <w:qFormat/>
    <w:rsid w:val="00db2efa"/>
    <w:pPr>
      <w:spacing w:before="0" w:after="60"/>
      <w:jc w:val="center"/>
      <w:outlineLvl w:val="1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b85092"/>
    <w:pPr/>
    <w:rPr/>
  </w:style>
  <w:style w:type="paragraph" w:styleId="TOCHeading">
    <w:name w:val="TOC Heading"/>
    <w:basedOn w:val="Nagwek1"/>
    <w:next w:val="Normal"/>
    <w:uiPriority w:val="39"/>
    <w:unhideWhenUsed/>
    <w:qFormat/>
    <w:rsid w:val="00b85092"/>
    <w:pPr>
      <w:keepLines/>
      <w:suppressAutoHyphens w:val="false"/>
      <w:spacing w:lineRule="auto" w:line="259" w:before="240" w:after="0"/>
    </w:pPr>
    <w:rPr>
      <w:b w:val="false"/>
      <w:bCs w:val="false"/>
      <w:color w:val="2F5496"/>
      <w:kern w:val="0"/>
      <w:lang w:eastAsia="pl-PL"/>
    </w:rPr>
  </w:style>
  <w:style w:type="paragraph" w:styleId="Spistreci2">
    <w:name w:val="TOC 2"/>
    <w:basedOn w:val="Normal"/>
    <w:next w:val="Normal"/>
    <w:autoRedefine/>
    <w:uiPriority w:val="39"/>
    <w:unhideWhenUsed/>
    <w:rsid w:val="00b85092"/>
    <w:pPr>
      <w:spacing w:before="120" w:after="0"/>
      <w:ind w:left="240" w:hanging="0"/>
    </w:pPr>
    <w:rPr>
      <w:rFonts w:ascii="Calibri" w:hAnsi="Calibri" w:cs="Calibri"/>
      <w:i/>
      <w:iCs/>
      <w:sz w:val="20"/>
      <w:szCs w:val="20"/>
    </w:rPr>
  </w:style>
  <w:style w:type="paragraph" w:styleId="Spistreci3">
    <w:name w:val="TOC 3"/>
    <w:basedOn w:val="Normal"/>
    <w:next w:val="Normal"/>
    <w:autoRedefine/>
    <w:uiPriority w:val="39"/>
    <w:unhideWhenUsed/>
    <w:rsid w:val="00b85092"/>
    <w:pPr>
      <w:ind w:left="480" w:hanging="0"/>
    </w:pPr>
    <w:rPr>
      <w:rFonts w:ascii="Calibri" w:hAnsi="Calibri" w:cs="Calibri"/>
      <w:sz w:val="20"/>
      <w:szCs w:val="20"/>
    </w:rPr>
  </w:style>
  <w:style w:type="paragraph" w:styleId="Spistreci4">
    <w:name w:val="TOC 4"/>
    <w:basedOn w:val="Normal"/>
    <w:next w:val="Normal"/>
    <w:autoRedefine/>
    <w:uiPriority w:val="39"/>
    <w:unhideWhenUsed/>
    <w:rsid w:val="00b85092"/>
    <w:pPr>
      <w:ind w:left="720" w:hanging="0"/>
    </w:pPr>
    <w:rPr>
      <w:rFonts w:ascii="Calibri" w:hAnsi="Calibri" w:cs="Calibri"/>
      <w:sz w:val="20"/>
      <w:szCs w:val="20"/>
    </w:rPr>
  </w:style>
  <w:style w:type="paragraph" w:styleId="Spistreci5">
    <w:name w:val="TOC 5"/>
    <w:basedOn w:val="Normal"/>
    <w:next w:val="Normal"/>
    <w:autoRedefine/>
    <w:uiPriority w:val="39"/>
    <w:unhideWhenUsed/>
    <w:rsid w:val="00b85092"/>
    <w:pPr>
      <w:ind w:left="960" w:hanging="0"/>
    </w:pPr>
    <w:rPr>
      <w:rFonts w:ascii="Calibri" w:hAnsi="Calibri" w:cs="Calibri"/>
      <w:sz w:val="20"/>
      <w:szCs w:val="20"/>
    </w:rPr>
  </w:style>
  <w:style w:type="paragraph" w:styleId="Spistreci6">
    <w:name w:val="TOC 6"/>
    <w:basedOn w:val="Normal"/>
    <w:next w:val="Normal"/>
    <w:autoRedefine/>
    <w:uiPriority w:val="39"/>
    <w:unhideWhenUsed/>
    <w:rsid w:val="00b85092"/>
    <w:pPr>
      <w:ind w:left="1200" w:hanging="0"/>
    </w:pPr>
    <w:rPr>
      <w:rFonts w:ascii="Calibri" w:hAnsi="Calibri" w:cs="Calibri"/>
      <w:sz w:val="20"/>
      <w:szCs w:val="20"/>
    </w:rPr>
  </w:style>
  <w:style w:type="paragraph" w:styleId="Spistreci7">
    <w:name w:val="TOC 7"/>
    <w:basedOn w:val="Normal"/>
    <w:next w:val="Normal"/>
    <w:autoRedefine/>
    <w:uiPriority w:val="39"/>
    <w:unhideWhenUsed/>
    <w:rsid w:val="00b85092"/>
    <w:pPr>
      <w:ind w:left="1440" w:hanging="0"/>
    </w:pPr>
    <w:rPr>
      <w:rFonts w:ascii="Calibri" w:hAnsi="Calibri" w:cs="Calibri"/>
      <w:sz w:val="20"/>
      <w:szCs w:val="20"/>
    </w:rPr>
  </w:style>
  <w:style w:type="paragraph" w:styleId="Spistreci8">
    <w:name w:val="TOC 8"/>
    <w:basedOn w:val="Normal"/>
    <w:next w:val="Normal"/>
    <w:autoRedefine/>
    <w:uiPriority w:val="39"/>
    <w:unhideWhenUsed/>
    <w:rsid w:val="00b85092"/>
    <w:pPr>
      <w:ind w:left="1680" w:hanging="0"/>
    </w:pPr>
    <w:rPr>
      <w:rFonts w:ascii="Calibri" w:hAnsi="Calibri" w:cs="Calibri"/>
      <w:sz w:val="20"/>
      <w:szCs w:val="20"/>
    </w:rPr>
  </w:style>
  <w:style w:type="paragraph" w:styleId="Spistreci9">
    <w:name w:val="TOC 9"/>
    <w:basedOn w:val="Normal"/>
    <w:next w:val="Normal"/>
    <w:autoRedefine/>
    <w:uiPriority w:val="39"/>
    <w:unhideWhenUsed/>
    <w:rsid w:val="00b85092"/>
    <w:pPr>
      <w:ind w:left="1920" w:hanging="0"/>
    </w:pPr>
    <w:rPr>
      <w:rFonts w:ascii="Calibri" w:hAnsi="Calibri" w:cs="Calibri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header" Target="header2.xml"/><Relationship Id="rId83" Type="http://schemas.openxmlformats.org/officeDocument/2006/relationships/footer" Target="footer2.xml"/><Relationship Id="rId84" Type="http://schemas.openxmlformats.org/officeDocument/2006/relationships/numbering" Target="numbering.xml"/><Relationship Id="rId85" Type="http://schemas.openxmlformats.org/officeDocument/2006/relationships/fontTable" Target="fontTable.xml"/><Relationship Id="rId86" Type="http://schemas.openxmlformats.org/officeDocument/2006/relationships/settings" Target="settings.xml"/><Relationship Id="rId87" Type="http://schemas.openxmlformats.org/officeDocument/2006/relationships/theme" Target="theme/theme1.xml"/><Relationship Id="rId8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0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FF0DF-4F3A-4CF7-AD6C-E06DEA763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Application>LibreOffice/6.2.8.2$Windows_X86_64 LibreOffice_project/f82ddfca21ebc1e222a662a32b25c0c9d20169ee</Application>
  <Pages>45</Pages>
  <Words>5507</Words>
  <Characters>35653</Characters>
  <CharactersWithSpaces>41179</CharactersWithSpaces>
  <Paragraphs>437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2024-05-02T05:32:00Z</dcterms:created>
  <dc:creator>MW</dc:creator>
  <dc:description/>
  <dc:language>pl-PL</dc:language>
  <cp:lastModifiedBy/>
  <cp:lastPrinted>2024-05-07T08:42:26Z</cp:lastPrinted>
  <dcterms:modified xsi:type="dcterms:W3CDTF">2024-05-07T08:41:16Z</dcterms:modified>
  <cp:revision>33</cp:revision>
  <dc:subject/>
  <dc:title>Badaniem ankietowym objęto pacjentów  Szpitala Miejskiego w Rudzie Śląskiej Sp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